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471e3c232430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S4658.1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89, beginning on line 6, strike all of subsection (2)(y)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assigning rights to assets, such as patents, trademarks, brand names, or franchise agreements,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53859cbc94c46" /></Relationships>
</file>