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dbf2fbaf5480e"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RIVE</w:t>
        </w:r>
      </w:r>
      <w:r>
        <w:rPr>
          <w:b/>
        </w:rPr>
        <w:t xml:space="preserve"> </w:t>
        <w:r>
          <w:rPr/>
          <w:t xml:space="preserve">S4693.1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879</w:t>
      </w:r>
    </w:p>
    <w:p>
      <w:pPr>
        <w:spacing w:before="0" w:after="0" w:line="408" w:lineRule="exact"/>
        <w:ind w:left="0" w:right="0" w:firstLine="576"/>
        <w:jc w:val="left"/>
      </w:pPr>
      <w:r>
        <w:rPr/>
        <w:t xml:space="preserve">By Senator Rivers</w:t>
      </w:r>
    </w:p>
    <w:p>
      <w:pPr>
        <w:jc w:val="right"/>
      </w:pPr>
      <w:r>
        <w:rPr>
          <w:b/>
        </w:rPr>
        <w:t xml:space="preserve">NOT ADOPTED 04/28/2019</w:t>
      </w:r>
    </w:p>
    <w:p>
      <w:pPr>
        <w:spacing w:before="0" w:after="0" w:line="408" w:lineRule="exact"/>
        <w:ind w:left="0" w:right="0" w:firstLine="576"/>
        <w:jc w:val="left"/>
      </w:pPr>
      <w:r>
        <w:rPr/>
        <w:t xml:space="preserve">On page 94, line 31, after "(6)" insert "The workforce education investment surcharge under this section does not apply to any person for whom twenty percent or more of their cumulative gross amount reportable under this chapter during the entire current or immediately preceding calendar year is from medicare and medicaid payments.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Exempts businesses with at least 20% of revenue from payments from Medicare and Medicaid from paying the B&amp;O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8a273719f4a62" /></Relationships>
</file>