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73330d6ed4e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S4532.2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</w:t>
      </w:r>
      <w:r>
        <w:rPr>
          <w:u w:val="single"/>
        </w:rPr>
        <w:t xml:space="preserve">(8)</w:t>
      </w:r>
      <w:r>
        <w:rPr/>
        <w:t xml:space="preserve">" strike "</w:t>
      </w:r>
      <w:r>
        <w:rPr>
          <w:u w:val="single"/>
        </w:rPr>
        <w:t xml:space="preserve">Beginning</w:t>
      </w:r>
      <w:r>
        <w:rPr/>
        <w:t xml:space="preserve">" and insert "</w:t>
      </w:r>
      <w:r>
        <w:rPr>
          <w:u w:val="single"/>
        </w:rPr>
        <w:t xml:space="preserve">Except as provided in subsection (10) of this section, beginning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(10) The commission shall not impose the additional vessel replacement surcharge in subsection (8) of this section if doing so would increase fares by more than ten percent.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Commission shall not impose the additional vessel replacement surcharge if doing so would increase fares by more than ten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58bfeeff14e30" /></Relationships>
</file>