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ea48a72414574" /></Relationships>
</file>

<file path=word/document.xml><?xml version="1.0" encoding="utf-8"?>
<w:document xmlns:w="http://schemas.openxmlformats.org/wordprocessingml/2006/main">
  <w:body>
    <w:p>
      <w:r>
        <w:rPr>
          <w:b/>
        </w:rPr>
        <w:r>
          <w:rPr/>
          <w:t xml:space="preserve">2287-S</w:t>
        </w:r>
      </w:r>
      <w:r>
        <w:rPr>
          <w:b/>
        </w:rPr>
        <w:t xml:space="preserve"> </w:t>
        <w:t xml:space="preserve">AMS</w:t>
      </w:r>
      <w:r>
        <w:rPr>
          <w:b/>
        </w:rPr>
        <w:t xml:space="preserve"> </w:t>
        <w:r>
          <w:rPr/>
          <w:t xml:space="preserve">TRAN</w:t>
        </w:r>
      </w:r>
      <w:r>
        <w:rPr>
          <w:b/>
        </w:rPr>
        <w:t xml:space="preserve"> </w:t>
        <w:r>
          <w:rPr/>
          <w:t xml:space="preserve">S7228.1</w:t>
        </w:r>
      </w:r>
      <w:r>
        <w:rPr>
          <w:b/>
        </w:rPr>
        <w:t xml:space="preserve"> - NOT FOR FLOOR USE</w:t>
      </w:r>
    </w:p>
    <w:p>
      <w:pPr>
        <w:ind w:left="0" w:right="0" w:firstLine="576"/>
      </w:pPr>
      <w:r>
        <w:rPr/>
        <w:t xml:space="preserve"> </w:t>
      </w: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fifty-seven passengers and crew 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w:t>
      </w:r>
    </w:p>
    <w:p>
      <w:pPr>
        <w:spacing w:before="0" w:after="0" w:line="408" w:lineRule="exact"/>
        <w:ind w:left="0" w:right="0" w:firstLine="576"/>
        <w:jc w:val="left"/>
      </w:pPr>
      <w:r>
        <w:rPr/>
        <w:t xml:space="preserve">(2) In 2019, the national transportation safety board issued an accident report on the 2017 derailment. The report included recommendations for government agencies that participated in developing the new route related to improvements in safety oversight, coordination, and communication. In light of these recommendations, the legislature believes that a broader assessment of how rail safety responsibilities are undertaken across agencies in the state, and are coordinated between them, should be the first step in driving fundamental changes to rail safety governance as quickly as possible to strengthen rail safety. The legislature finds that an assessment of best practices for the oversight and coordination of rail safety activities will serve as a critical guidepost for improvements to rail safety governance, and should be completed as soon as possible to inform next steps.</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joint transportation committee shall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accident report referenced in section 1 of this act that are relevant to rail safety governance.</w:t>
      </w:r>
    </w:p>
    <w:p>
      <w:pPr>
        <w:spacing w:before="0" w:after="0" w:line="408" w:lineRule="exact"/>
        <w:ind w:left="0" w:right="0" w:firstLine="576"/>
        <w:jc w:val="left"/>
      </w:pPr>
      <w:r>
        <w:rPr/>
        <w:t xml:space="preserve">(2) The study must include the following components:</w:t>
      </w:r>
    </w:p>
    <w:p>
      <w:pPr>
        <w:spacing w:before="0" w:after="0" w:line="408" w:lineRule="exact"/>
        <w:ind w:left="0" w:right="0" w:firstLine="576"/>
        <w:jc w:val="left"/>
      </w:pPr>
      <w:r>
        <w:rPr/>
        <w:t xml:space="preserve">(a)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(3)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(4)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(5) The joint transportation committee shall issue a report of its findings and recommendations on rail safety governance to the house of representatives and senate transportation committees by January 6, 2021.</w:t>
      </w:r>
    </w:p>
    <w:p>
      <w:pPr>
        <w:spacing w:before="0" w:after="0" w:line="408" w:lineRule="exact"/>
        <w:ind w:left="0" w:right="0" w:firstLine="576"/>
        <w:jc w:val="left"/>
      </w:pPr>
      <w:r>
        <w:rPr/>
        <w:t xml:space="preserve">(6) This section expires July 1, 2021."</w:t>
      </w: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"state;" strike the remainder of the title and insert "creating new sections; and providing expiration dates."</w:t>
      </w:r>
    </w:p>
    <w:p>
      <w:pPr>
        <w:spacing w:before="0" w:after="0" w:line="408" w:lineRule="exact"/>
        <w:ind w:left="0" w:right="0" w:firstLine="576"/>
        <w:jc w:val="left"/>
      </w:pPr>
      <w:r>
        <w:rPr>
          <w:u w:val="single"/>
        </w:rPr>
        <w:t xml:space="preserve">EFFECT:</w:t>
      </w:r>
      <w:r>
        <w:rPr/>
        <w:t xml:space="preserve"> Provides that the consultant study of rail safety governance best practices is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3a57bdc45404f" /></Relationships>
</file>