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68cbbf2ad46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</w:t>
      </w:r>
      <w:r>
        <w:rPr>
          <w:u w:val="single"/>
        </w:rPr>
        <w:t xml:space="preserve">deceased</w:t>
      </w:r>
      <w:r>
        <w:rPr/>
        <w:t xml:space="preserve">" insert "</w:t>
      </w:r>
      <w:r>
        <w:rPr>
          <w:u w:val="single"/>
        </w:rPr>
        <w:t xml:space="preserve">. However, a defendant's liability is several only and not joint under RCW 4.22.070(1) (a) or (b) if the parent or sibling is not dependent upon the deceased person for support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A defendant's liability is several only and not joint under RCW 4.22.070(1) (a) or (b) if the decedent's parent or sibling is not dependent upon the decedent for support.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defendant's liability is several only and not joint under RCW 4.22.070(1) (a) or (b) if the decedent's parent or sibling is not dependent upon the decedent for support.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A defendant's liability is several only and not joint under RCW 4.22.070(1) (a) or (b) if the decedent's parent or legal guardian is not dependent upon the decedent for support.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under a general wrongful death action or a general or special survival action, a defendant's liability is several only, and not joint, if the decedent's parent or sibling is not dependent on the decedent for support. Provides that in an action for wrongful death of a child, a defendant's liability is several only, and not joint, if the decedent's parent or legal guardian is not dependent on the decedent for support.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ca1abcb9f4f8f" /></Relationships>
</file>