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f2216a9a7469d"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RIVE</w:t>
        </w:r>
      </w:r>
      <w:r>
        <w:rPr>
          <w:b/>
        </w:rPr>
        <w:t xml:space="preserve"> </w:t>
        <w:r>
          <w:rPr/>
          <w:t xml:space="preserve">S3011.1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 or that raises the acuity of the unit to which the employee is assigned such that the employee is needed back from break to avoid patient harm.</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 and</w:t>
      </w:r>
    </w:p>
    <w:p>
      <w:pPr>
        <w:spacing w:before="0" w:after="0" w:line="408" w:lineRule="exact"/>
        <w:ind w:left="0" w:right="0" w:firstLine="576"/>
        <w:jc w:val="left"/>
      </w:pPr>
      <w:r>
        <w:rPr/>
        <w:t xml:space="preserve">(v) Does not work in the postanesthesia department of any hospital licensed under chapter 70.41 RCW.</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Pr>
        <w:spacing w:before="0" w:after="0" w:line="408" w:lineRule="exact"/>
        <w:ind w:left="0" w:right="0" w:firstLine="576"/>
        <w:jc w:val="left"/>
      </w:pPr>
      <w:r>
        <w:rPr>
          <w:u w:val="single"/>
        </w:rPr>
        <w:t xml:space="preserve">(5) This section does not apply to sexual assault nurse examiners who work on a prescheduled on-call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Pursuant to RCW 49.12.105, an employer may apply to the director for a variance of the elements of chapter . . ., Laws of 2019 (this act)."</w:t>
      </w: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On page 1, line 2 of the title, after "employees;" strike the remainder of the title and insert "amending RCW 49.28.130 and 49.28.140; and adding new sections to chapter 49.12 RCW."</w:t>
      </w:r>
    </w:p>
    <w:p>
      <w:pPr>
        <w:spacing w:before="0" w:after="0" w:line="408" w:lineRule="exact"/>
        <w:ind w:left="0" w:right="0" w:firstLine="576"/>
        <w:jc w:val="left"/>
      </w:pPr>
      <w:r>
        <w:rPr>
          <w:u w:val="single"/>
        </w:rPr>
        <w:t xml:space="preserve">EFFECT:</w:t>
      </w:r>
      <w:r>
        <w:rPr/>
        <w:t xml:space="preserve"> Exempts postanesthesia departments of hospitals from the uninterrupted meal and rest break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ed052356b48f4" /></Relationships>
</file>