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766777b684b2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5363-S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S2947.1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(8) The exemptions under subsections (1)(a)(ii)(A) and (6) of this section only apply to a local government: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Whose transportation infrastructure has received a grade of at least B or better from the department of transportation's level of service report;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Has demonstrated that the resulting new construction will not result in a reduction in transportation level of service.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 local government receive a grade of at least B or better from the Department of Transportation's Level of Service report and demonstrate that the new construction will not result in a reduction in transportation level of service before the exemptions may apply.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d8e441cf945a4" /></Relationships>
</file>