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b46f076184f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S2226.2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"(1)" strike "</w:t>
      </w:r>
      <w:r>
        <w:rPr>
          <w:u w:val="single"/>
        </w:rPr>
        <w:t xml:space="preserve">(a)</w:t>
      </w:r>
      <w:r>
        <w:rPr/>
        <w:t xml:space="preserve"> By September 1, ((</w:t>
      </w:r>
      <w:r>
        <w:rPr>
          <w:strike/>
        </w:rPr>
        <w:t xml:space="preserve">2008</w:t>
      </w:r>
      <w:r>
        <w:rPr/>
        <w:t xml:space="preserve">)) </w:t>
      </w:r>
      <w:r>
        <w:rPr>
          <w:u w:val="single"/>
        </w:rPr>
        <w:t xml:space="preserve">2021</w:t>
      </w:r>
      <w:r>
        <w:rPr/>
        <w:t xml:space="preserve">" and insert "</w:t>
      </w:r>
      <w:r>
        <w:t>((</w:t>
      </w:r>
      <w:r>
        <w:rPr>
          <w:strike/>
        </w:rPr>
        <w:t xml:space="preserve">By September 1, 2008</w:t>
      </w:r>
      <w:r>
        <w:t>))</w:t>
      </w:r>
      <w:r>
        <w:rPr/>
        <w:t xml:space="preserve"> </w:t>
      </w:r>
      <w:r>
        <w:rPr>
          <w:u w:val="single"/>
        </w:rPr>
        <w:t xml:space="preserve">(a) Subject to the requirements under section 2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after "(2)" strike all material through "</w:t>
      </w:r>
      <w:r>
        <w:rPr>
          <w:u w:val="single"/>
        </w:rPr>
        <w:t xml:space="preserve">(3)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office of the superintendent of public instruction must develop a statewide curriculum for mathematics.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 districts must adopt the statewide curriculum for mathematics."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"curriculum;" strike "and" and after "28A.300.475" insert "; and adding a new section to chapter 28A.315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comprehensive sexual health education requirements subject to the Office of the Superintendent of Public Instruction developing a statewide curriculum for mathematics and school districts adopting 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22e4592144a4f" /></Relationships>
</file>