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76712b28b46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S3010.2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5526</w:t>
      </w:r>
      <w:r>
        <w:t xml:space="preserve"> -</w:t>
      </w:r>
      <w:r>
        <w:t xml:space="preserve"> </w:t>
        <w:t xml:space="preserve">S AMD TO S AMD (S-2896.3/19)</w:t>
      </w:r>
      <w:r>
        <w:t xml:space="preserve"> </w:t>
      </w:r>
      <w:r>
        <w:rPr>
          <w:b/>
        </w:rPr>
        <w:t xml:space="preserve">402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3, strike all of sections 1 through 4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.</w:t>
      </w:r>
      <w:r>
        <w:t xml:space="preserve">028</w:t>
      </w:r>
      <w:r>
        <w:rPr/>
        <w:t xml:space="preserve"> and 2001 c 196 s 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To the extent required of the federal health insurance portability and accountability act of 1996, the eligibility of an employer or group to purchase a health benefit plan set forth in RCW 48.21.045(1)(b), 48.44.023(1)(b), and 48.46.066(1)(b) must be extended to all small employers and small groups as defined in RCW 48.43.005.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To the extent permitted under federal law, the eligibility of individuals to purchase an association health plan must be extended to all individuals, including employees of small employers and sole proprietors.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5526</w:t>
      </w:r>
      <w:r>
        <w:t xml:space="preserve"> -</w:t>
      </w:r>
      <w:r>
        <w:t xml:space="preserve"> </w:t>
        <w:t xml:space="preserve">S AMD TO S AMD (S-2896.3/19)</w:t>
      </w:r>
      <w:r>
        <w:t xml:space="preserve"> </w:t>
      </w:r>
      <w:r>
        <w:rPr>
          <w:b/>
        </w:rPr>
        <w:t xml:space="preserve">402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"insert" strike all material through "date." on line 20 and insert "amending RCW 48.43.028; and adding a new section to chapter 48.43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the provisions related to standard benefit design, establishing a qualified health plan procured by the Health Care Authority, and establishing a premium assistance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Requires, to the extent permitted by federal law, for eligibility to purchase an association health plan to be extended to all individuals.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5211a6172400a" /></Relationships>
</file>