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07940b7d14a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5545-S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S2705.2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ecology must examine and compare the life-cycle environmental impacts of carryout bags, including the effects on water quality and greenhouse gas emissions. The examination must include a review and comparison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Paper and plastic bags;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Recycled content paper and plastic bags;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Compostable and biodegradable plastic bags;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Bags designed specifically to have long-term multiple uses.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2019, the department of ecology must provide a completed study to the appropriate committees of the legislature."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"RCW;" insert "creating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evaluate and compare life-cycle environmental impacts of carryout bags.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1f8ba3af54004" /></Relationships>
</file>