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ade68756141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S2630.2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PULLED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in a city</w:t>
      </w:r>
      <w:r>
        <w:rPr/>
        <w:t xml:space="preserve">" insert "</w:t>
      </w:r>
      <w:r>
        <w:rPr>
          <w:u w:val="single"/>
        </w:rPr>
        <w:t xml:space="preserve">, code city,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less than</w:t>
      </w:r>
      <w:r>
        <w:rPr/>
        <w:t xml:space="preserve">" strike "</w:t>
      </w:r>
      <w:r>
        <w:rPr>
          <w:u w:val="single"/>
        </w:rPr>
        <w:t xml:space="preserve">thirty</w:t>
      </w:r>
      <w:r>
        <w:rPr/>
        <w:t xml:space="preserve">" and insert "</w:t>
      </w:r>
      <w:r>
        <w:rPr>
          <w:u w:val="single"/>
        </w:rPr>
        <w:t xml:space="preserve">seventy-five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 addition to cities and towns the provisions also apply to code cities. The provisions apply to cities, code cities, and towns that have a population of less than 75,000, instead of less than 30,000.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0c475d8c84cfe" /></Relationships>
</file>