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762d7349d4e4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SHEL</w:t>
        </w:r>
      </w:r>
      <w:r>
        <w:rPr>
          <w:b/>
        </w:rPr>
        <w:t xml:space="preserve"> </w:t>
        <w:r>
          <w:rPr/>
          <w:t xml:space="preserve">S4225.1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(3) Beginning on the effective date of this section, every proposed modification of an emission performance standard for a solid fuel burning device must be approved by the applicable authority, if any, before a rule adopting the new emission performance standard may take effect within the area under the jurisdiction of the authority.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local clean air authorities to approve modifications to solid fuel burning device emission performance standards before rules adopting such modifications may take effect.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887e11f054d6f" /></Relationships>
</file>