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6a2316f314be9" /></Relationships>
</file>

<file path=word/document.xml><?xml version="1.0" encoding="utf-8"?>
<w:document xmlns:w="http://schemas.openxmlformats.org/wordprocessingml/2006/main">
  <w:body>
    <w:p>
      <w:r>
        <w:rPr>
          <w:b/>
        </w:rPr>
        <w:r>
          <w:rPr/>
          <w:t xml:space="preserve">6515-S2</w:t>
        </w:r>
      </w:r>
      <w:r>
        <w:rPr>
          <w:b/>
        </w:rPr>
        <w:t xml:space="preserve"> </w:t>
        <w:t xml:space="preserve">AMS</w:t>
      </w:r>
      <w:r>
        <w:rPr>
          <w:b/>
        </w:rPr>
        <w:t xml:space="preserve"> </w:t>
        <w:r>
          <w:rPr/>
          <w:t xml:space="preserve">VAND</w:t>
        </w:r>
      </w:r>
      <w:r>
        <w:rPr>
          <w:b/>
        </w:rPr>
        <w:t xml:space="preserve"> </w:t>
        <w:r>
          <w:rPr/>
          <w:t xml:space="preserve">S7361.2</w:t>
        </w:r>
      </w:r>
      <w:r>
        <w:rPr>
          <w:b/>
        </w:rPr>
        <w:t xml:space="preserve"> - NOT FOR FLOOR USE</w:t>
      </w:r>
    </w:p>
    <w:p>
      <w:pPr>
        <w:ind w:left="0" w:right="0" w:firstLine="576"/>
      </w:pPr>
    </w:p>
    <w:p>
      <w:pPr>
        <w:spacing w:before="480" w:after="0" w:line="408" w:lineRule="exact"/>
      </w:pPr>
      <w:r>
        <w:rPr>
          <w:b/>
          <w:u w:val="single"/>
        </w:rPr>
        <w:t xml:space="preserve">2SSB 6515</w:t>
      </w:r>
      <w:r>
        <w:t xml:space="preserve"> -</w:t>
      </w:r>
      <w:r>
        <w:t xml:space="preserve"> </w:t>
        <w:t xml:space="preserve">S AMD</w:t>
      </w:r>
      <w:r>
        <w:t xml:space="preserve"> </w:t>
      </w:r>
      <w:r>
        <w:rPr>
          <w:b/>
        </w:rPr>
        <w:t xml:space="preserve">1234</w:t>
      </w:r>
    </w:p>
    <w:p>
      <w:pPr>
        <w:spacing w:before="0" w:after="0" w:line="408" w:lineRule="exact"/>
        <w:ind w:left="0" w:right="0" w:firstLine="576"/>
        <w:jc w:val="left"/>
      </w:pPr>
      <w:r>
        <w:rPr/>
        <w:t xml:space="preserve">By Senator Van De Wege</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1987 c 476 s 24 are each amended to read as follows:</w:t>
      </w:r>
    </w:p>
    <w:p>
      <w:pPr>
        <w:spacing w:before="0" w:after="0" w:line="408" w:lineRule="exact"/>
        <w:ind w:left="0" w:right="0" w:firstLine="576"/>
        <w:jc w:val="left"/>
      </w:pPr>
      <w:r>
        <w:rPr/>
        <w:t xml:space="preserve">The department shall </w:t>
      </w:r>
      <w:r>
        <w:t>((</w:t>
      </w:r>
      <w:r>
        <w:rPr>
          <w:strike/>
        </w:rPr>
        <w:t xml:space="preserve">make or cause to be made at least one inspection of</w:t>
      </w:r>
      <w:r>
        <w:t>))</w:t>
      </w:r>
      <w:r>
        <w:rPr/>
        <w:t xml:space="preserve"> </w:t>
      </w:r>
      <w:r>
        <w:rPr>
          <w:u w:val="single"/>
        </w:rPr>
        <w:t xml:space="preserve">inspect</w:t>
      </w:r>
      <w:r>
        <w:rPr/>
        <w:t xml:space="preserve"> each nursing home </w:t>
      </w:r>
      <w:r>
        <w:t>((</w:t>
      </w:r>
      <w:r>
        <w:rPr>
          <w:strike/>
        </w:rPr>
        <w:t xml:space="preserve">prior to license renewal and shall inspect community-based services as part of the licensing renewal survey</w:t>
      </w:r>
      <w:r>
        <w:t>))</w:t>
      </w:r>
      <w:r>
        <w:rPr/>
        <w:t xml:space="preserve"> </w:t>
      </w:r>
      <w:r>
        <w:rPr>
          <w:u w:val="single"/>
        </w:rPr>
        <w:t xml:space="preserve">periodically in accordance with federal standards under 42 C.F.R. Part 488, Subpart E</w:t>
      </w:r>
      <w:r>
        <w:rPr/>
        <w:t xml:space="preserv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w:t>
      </w:r>
      <w:r>
        <w:rPr>
          <w:u w:val="single"/>
        </w:rPr>
        <w:t xml:space="preserve">to</w:t>
      </w:r>
      <w:r>
        <w:rPr/>
        <w:t xml:space="preserve">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1981 2nd ex.s. c 11 s 4 are each amended to read as follows:</w:t>
      </w:r>
    </w:p>
    <w:p>
      <w:pPr>
        <w:spacing w:before="0" w:after="0" w:line="408" w:lineRule="exact"/>
        <w:ind w:left="0" w:right="0" w:firstLine="576"/>
        <w:jc w:val="left"/>
      </w:pPr>
      <w:r>
        <w:rPr/>
        <w:t xml:space="preserve">The department shall, in addition to any inspections conducted pursuant to complaints filed pursuant to RCW 18.51.190, conduct </w:t>
      </w:r>
      <w:r>
        <w:t>((</w:t>
      </w:r>
      <w:r>
        <w:rPr>
          <w:strike/>
        </w:rPr>
        <w:t xml:space="preserve">at least one general inspection prior to license renewal of all nursing homes in the state without providing advance notice of such inspection. Periodically, such inspection shall take place in part between the hours of 7 p.m. and 5 a.m. or on weekends</w:t>
      </w:r>
      <w:r>
        <w:t>))</w:t>
      </w:r>
      <w:r>
        <w:rPr/>
        <w:t xml:space="preserve"> </w:t>
      </w:r>
      <w:r>
        <w:rPr>
          <w:u w:val="single"/>
        </w:rPr>
        <w:t xml:space="preserve">a periodic general inspection of each nursing home in the state without providing advance notice of such inspection. Such inspections must conform to the federal standards for surveys under 42 C.F.R. Part 488, Subpart 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2019 c 12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w:t>
      </w:r>
      <w:r>
        <w:rPr>
          <w:u w:val="single"/>
        </w:rPr>
        <w:t xml:space="preserve">s</w:t>
      </w:r>
      <w:r>
        <w:rPr/>
        <w:t xml:space="preserve">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w:t>
      </w:r>
      <w:r>
        <w:rPr>
          <w:u w:val="single"/>
        </w:rPr>
        <w:t xml:space="preserve">(i)</w:t>
      </w:r>
      <w:r>
        <w:rPr/>
        <w:t xml:space="preserve"> The department shall establish a limited exception process </w:t>
      </w:r>
      <w:r>
        <w:t>((</w:t>
      </w:r>
      <w:r>
        <w:rPr>
          <w:strike/>
        </w:rPr>
        <w:t xml:space="preserve">to facilities</w:t>
      </w:r>
      <w:r>
        <w:t>))</w:t>
      </w:r>
      <w:r>
        <w:rPr/>
        <w:t xml:space="preserve"> </w:t>
      </w:r>
      <w:r>
        <w:rPr>
          <w:u w:val="single"/>
        </w:rPr>
        <w:t xml:space="preserve">for large nonessential community providers</w:t>
      </w:r>
      <w:r>
        <w:rPr/>
        <w:t xml:space="preserve"> that can demonstrate a good faith effort to hire a registered nurse for the last eight hours of required coverage per day. In granting an exception, the department may consider </w:t>
      </w:r>
      <w:r>
        <w:rPr>
          <w:u w:val="single"/>
        </w:rPr>
        <w:t xml:space="preserve">the competitiveness of the</w:t>
      </w:r>
      <w:r>
        <w:rPr/>
        <w:t xml:space="preserve"> wages and benefits offered </w:t>
      </w:r>
      <w:r>
        <w:rPr>
          <w:u w:val="single"/>
        </w:rPr>
        <w:t xml:space="preserve">as compared to nursing facilities in comparable geographic or metropolitan areas within Washington state, the provider's recruitment and retention efforts,</w:t>
      </w:r>
      <w:r>
        <w:rPr/>
        <w:t xml:space="preserve"> and the availability of registered nurses in the particular geographic area. A one-year exception may be granted and may be renewable </w:t>
      </w:r>
      <w:r>
        <w:t>((</w:t>
      </w:r>
      <w:r>
        <w:rPr>
          <w:strike/>
        </w:rPr>
        <w:t xml:space="preserve">for up to three consecutive years</w:t>
      </w:r>
      <w:r>
        <w:t>))</w:t>
      </w:r>
      <w:r>
        <w:rPr/>
        <w:t xml:space="preserve">; however, the department may limit the admission of new residents, based on medical conditions or complexities, when a registered nurse is not on-site and readily available. If a </w:t>
      </w:r>
      <w:r>
        <w:t>((</w:t>
      </w:r>
      <w:r>
        <w:rPr>
          <w:strike/>
        </w:rPr>
        <w:t xml:space="preserve">facility</w:t>
      </w:r>
      <w:r>
        <w:t>))</w:t>
      </w:r>
      <w:r>
        <w:rPr/>
        <w:t xml:space="preserve"> </w:t>
      </w:r>
      <w:r>
        <w:rPr>
          <w:u w:val="single"/>
        </w:rPr>
        <w:t xml:space="preserve">large nonessential community provider</w:t>
      </w:r>
      <w:r>
        <w:rPr/>
        <w:t xml:space="preserve"> receives an </w:t>
      </w:r>
      <w:r>
        <w:t>((</w:t>
      </w:r>
      <w:r>
        <w:rPr>
          <w:strike/>
        </w:rPr>
        <w:t xml:space="preserve">exemption</w:t>
      </w:r>
      <w:r>
        <w:t>))</w:t>
      </w:r>
      <w:r>
        <w:rPr/>
        <w:t xml:space="preserve"> </w:t>
      </w:r>
      <w:r>
        <w:rPr>
          <w:u w:val="single"/>
        </w:rPr>
        <w:t xml:space="preserve">exception</w:t>
      </w:r>
      <w:r>
        <w:rPr/>
        <w:t xml:space="preserve">, that information must be included in the department's nursing home locator. </w:t>
      </w:r>
      <w:r>
        <w:t>((</w:t>
      </w:r>
      <w:r>
        <w:rPr>
          <w:strike/>
        </w:rPr>
        <w:t xml:space="preserve">After June 30, 2019</w:t>
      </w:r>
      <w:r>
        <w:t>))</w:t>
      </w:r>
    </w:p>
    <w:p>
      <w:pPr>
        <w:spacing w:before="0" w:after="0" w:line="408" w:lineRule="exact"/>
        <w:ind w:left="0" w:right="0" w:firstLine="576"/>
        <w:jc w:val="left"/>
      </w:pPr>
      <w:r>
        <w:rPr>
          <w:u w:val="single"/>
        </w:rPr>
        <w:t xml:space="preserve">(ii) By August 1, 2023, and every three years thereafter</w:t>
      </w:r>
      <w:r>
        <w:rPr/>
        <w:t xml:space="preserve">, the department, along with a stakeholder work group established by the department, shall conduct a review of the exceptions process to determine if it is still necessary. </w:t>
      </w:r>
      <w:r>
        <w:rPr>
          <w:u w:val="single"/>
        </w:rPr>
        <w:t xml:space="preserve">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w:t>
      </w:r>
      <w:r>
        <w:rPr>
          <w:u w:val="single"/>
        </w:rPr>
        <w:t xml:space="preserve">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effective May 1, 2020, or the month following the effective date of this section, whichever comes last, through June 30, 2020, using 2018 calendar year cost report information.</w:t>
      </w:r>
    </w:p>
    <w:p>
      <w:pPr>
        <w:spacing w:before="0" w:after="0" w:line="408" w:lineRule="exact"/>
        <w:ind w:left="0" w:right="0" w:firstLine="576"/>
        <w:jc w:val="left"/>
      </w:pPr>
      <w:r>
        <w:rPr>
          <w:u w:val="single"/>
        </w:rPr>
        <w:t xml:space="preserve">(b) Beginning July 1, 2020, the direct care and indirect care components must be rebased annually. Rates paid shall be established using the most recent adjusted cost report information available. The most recent adjusted cost report information shall be the base year costs.</w:t>
      </w:r>
    </w:p>
    <w:p>
      <w:pPr>
        <w:spacing w:before="0" w:after="0" w:line="408" w:lineRule="exact"/>
        <w:ind w:left="0" w:right="0" w:firstLine="576"/>
        <w:jc w:val="left"/>
      </w:pPr>
      <w:r>
        <w:rPr>
          <w:u w:val="single"/>
        </w:rPr>
        <w:t xml:space="preserve">(c) Beginning July 1, 2020, and annually through June 30, 2023, the department shall modify the direct and indirect care rebased components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u w:val="single"/>
        </w:rPr>
        <w:t xml:space="preserve">(d) Beginning July 1, 2020, the indirect care inflationary rate increase from (c) of this subsection (8) shall be distributed according to the facility's number of outpatient emergency department visits per one thousand long-stay resident days using the centers for medicare and medicaid services' five-star quality rating data as the source of measurement.</w:t>
      </w:r>
    </w:p>
    <w:p>
      <w:pPr>
        <w:spacing w:before="0" w:after="0" w:line="408" w:lineRule="exact"/>
        <w:ind w:left="0" w:right="0" w:firstLine="576"/>
        <w:jc w:val="left"/>
      </w:pPr>
      <w:r>
        <w:rPr>
          <w:u w:val="single"/>
        </w:rPr>
        <w:t xml:space="preserve">(i) Facility performance must be evaluated on two metrics: </w:t>
      </w:r>
    </w:p>
    <w:p>
      <w:pPr>
        <w:spacing w:before="0" w:after="0" w:line="408" w:lineRule="exact"/>
        <w:ind w:left="0" w:right="0" w:firstLine="576"/>
        <w:jc w:val="left"/>
      </w:pPr>
      <w:r>
        <w:rPr>
          <w:u w:val="single"/>
        </w:rPr>
        <w:t xml:space="preserve">(A) Performance compared to national benchmarks determined as follows:</w:t>
      </w:r>
    </w:p>
    <w:p>
      <w:pPr>
        <w:spacing w:before="0" w:after="0" w:line="408" w:lineRule="exact"/>
        <w:ind w:left="0" w:right="0" w:firstLine="576"/>
        <w:jc w:val="left"/>
      </w:pPr>
      <w:r>
        <w:rPr>
          <w:u w:val="single"/>
        </w:rPr>
        <w:t xml:space="preserve">(I) A national score of one hundred thirty-five or greater equates to a performance percentage of one hundred twenty-five percent;</w:t>
      </w:r>
    </w:p>
    <w:p>
      <w:pPr>
        <w:spacing w:before="0" w:after="0" w:line="408" w:lineRule="exact"/>
        <w:ind w:left="0" w:right="0" w:firstLine="576"/>
        <w:jc w:val="left"/>
      </w:pPr>
      <w:r>
        <w:rPr>
          <w:u w:val="single"/>
        </w:rPr>
        <w:t xml:space="preserve">(II) A national score of one hundred five or one hundred twenty equates to a performance percentage of one hundred percent;</w:t>
      </w:r>
    </w:p>
    <w:p>
      <w:pPr>
        <w:spacing w:before="0" w:after="0" w:line="408" w:lineRule="exact"/>
        <w:ind w:left="0" w:right="0" w:firstLine="576"/>
        <w:jc w:val="left"/>
      </w:pPr>
      <w:r>
        <w:rPr>
          <w:u w:val="single"/>
        </w:rPr>
        <w:t xml:space="preserve">(III) A national score of seventy-five or ninety equates to a performance percentage of eighty percent;</w:t>
      </w:r>
    </w:p>
    <w:p>
      <w:pPr>
        <w:spacing w:before="0" w:after="0" w:line="408" w:lineRule="exact"/>
        <w:ind w:left="0" w:right="0" w:firstLine="576"/>
        <w:jc w:val="left"/>
      </w:pPr>
      <w:r>
        <w:rPr>
          <w:u w:val="single"/>
        </w:rPr>
        <w:t xml:space="preserve">(IV) A national score of sixty or below equates to a performance percentage of sixty percent; and </w:t>
      </w:r>
    </w:p>
    <w:p>
      <w:pPr>
        <w:spacing w:before="0" w:after="0" w:line="408" w:lineRule="exact"/>
        <w:ind w:left="0" w:right="0" w:firstLine="576"/>
        <w:jc w:val="left"/>
      </w:pPr>
      <w:r>
        <w:rPr>
          <w:u w:val="single"/>
        </w:rPr>
        <w:t xml:space="preserve">(B) Year-over-year improvement determined as follows:</w:t>
      </w:r>
    </w:p>
    <w:p>
      <w:pPr>
        <w:spacing w:before="0" w:after="0" w:line="408" w:lineRule="exact"/>
        <w:ind w:left="0" w:right="0" w:firstLine="576"/>
        <w:jc w:val="left"/>
      </w:pPr>
      <w:r>
        <w:rPr>
          <w:u w:val="single"/>
        </w:rPr>
        <w:t xml:space="preserve">(I) An improvement of up to nine percent over the previous year's score equates to an improvement percentage of sixty percent;</w:t>
      </w:r>
    </w:p>
    <w:p>
      <w:pPr>
        <w:spacing w:before="0" w:after="0" w:line="408" w:lineRule="exact"/>
        <w:ind w:left="0" w:right="0" w:firstLine="576"/>
        <w:jc w:val="left"/>
      </w:pPr>
      <w:r>
        <w:rPr>
          <w:u w:val="single"/>
        </w:rPr>
        <w:t xml:space="preserve">(II) An improvement of greater than nine percent and less than fifteen percent over the previous year's score equates to an improvement percentage of eighty percent; and</w:t>
      </w:r>
    </w:p>
    <w:p>
      <w:pPr>
        <w:spacing w:before="0" w:after="0" w:line="408" w:lineRule="exact"/>
        <w:ind w:left="0" w:right="0" w:firstLine="576"/>
        <w:jc w:val="left"/>
      </w:pPr>
      <w:r>
        <w:rPr>
          <w:u w:val="single"/>
        </w:rPr>
        <w:t xml:space="preserve">(III) An improvement of fifteen percent or greater over the previous year's score equates to an improvement percentage of one hundred percent.</w:t>
      </w:r>
    </w:p>
    <w:p>
      <w:pPr>
        <w:spacing w:before="0" w:after="0" w:line="408" w:lineRule="exact"/>
        <w:ind w:left="0" w:right="0" w:firstLine="576"/>
        <w:jc w:val="left"/>
      </w:pPr>
      <w:r>
        <w:rPr>
          <w:u w:val="single"/>
        </w:rPr>
        <w:t xml:space="preserve">(ii) Facilities must be placed in one of four tiers based on the average of the performance and improvement percentages. The rate increases must be distributed among the four tiers as follows:</w:t>
      </w:r>
    </w:p>
    <w:p>
      <w:pPr>
        <w:spacing w:before="0" w:after="0" w:line="408" w:lineRule="exact"/>
        <w:ind w:left="0" w:right="0" w:firstLine="576"/>
        <w:jc w:val="left"/>
      </w:pPr>
      <w:r>
        <w:rPr>
          <w:u w:val="single"/>
        </w:rPr>
        <w:t xml:space="preserve">(A) Tier one must include an average percentage that is greater than or equal to one hundred percent and qualifies for up to one hundred twenty-five percent of the available rate increase;</w:t>
      </w:r>
    </w:p>
    <w:p>
      <w:pPr>
        <w:spacing w:before="0" w:after="0" w:line="408" w:lineRule="exact"/>
        <w:ind w:left="0" w:right="0" w:firstLine="576"/>
        <w:jc w:val="left"/>
      </w:pPr>
      <w:r>
        <w:rPr>
          <w:u w:val="single"/>
        </w:rPr>
        <w:t xml:space="preserve">(B) Tier two must include an average percentage that is greater than or equal to ninety percent but less than one hundred percent and qualifies for up to one hundred percent of the available rate increase. Facilities with data deemed insufficient by the centers for medicare and medicaid services must be included in tier two;</w:t>
      </w:r>
    </w:p>
    <w:p>
      <w:pPr>
        <w:spacing w:before="0" w:after="0" w:line="408" w:lineRule="exact"/>
        <w:ind w:left="0" w:right="0" w:firstLine="576"/>
        <w:jc w:val="left"/>
      </w:pPr>
      <w:r>
        <w:rPr>
          <w:u w:val="single"/>
        </w:rPr>
        <w:t xml:space="preserve">(C) Tier three must include an average percentage that is greater than or equal to eighty but less than ninety percent and qualifies for up to eighty percent of the available rate increase; and</w:t>
      </w:r>
    </w:p>
    <w:p>
      <w:pPr>
        <w:spacing w:before="0" w:after="0" w:line="408" w:lineRule="exact"/>
        <w:ind w:left="0" w:right="0" w:firstLine="576"/>
        <w:jc w:val="left"/>
      </w:pPr>
      <w:r>
        <w:rPr>
          <w:u w:val="single"/>
        </w:rPr>
        <w:t xml:space="preserve">(D) Tier four must include an average percentage that is less than eighty percent and qualifies for up to sixty percent of the available rate increase.</w:t>
      </w:r>
    </w:p>
    <w:p>
      <w:pPr>
        <w:spacing w:before="0" w:after="0" w:line="408" w:lineRule="exact"/>
        <w:ind w:left="0" w:right="0" w:firstLine="576"/>
        <w:jc w:val="left"/>
      </w:pPr>
      <w:r>
        <w:rPr>
          <w:u w:val="single"/>
        </w:rPr>
        <w:t xml:space="preserve">(e) Any savings generated from (d) of this subsection (8) must be applied to the quality incentive identified in subsection (6) of this section.</w:t>
      </w:r>
    </w:p>
    <w:p>
      <w:pPr>
        <w:spacing w:before="0" w:after="0" w:line="408" w:lineRule="exact"/>
        <w:ind w:left="0" w:right="0" w:firstLine="576"/>
        <w:jc w:val="left"/>
      </w:pPr>
      <w:r>
        <w:rPr>
          <w:u w:val="single"/>
        </w:rPr>
        <w:t xml:space="preserve">(f) The department may adjust the outpatient emergency department visits performance measure in (d) of this subsection (8) to ensure budget neutrality.</w:t>
      </w:r>
    </w:p>
    <w:p>
      <w:pPr>
        <w:spacing w:before="0" w:after="0" w:line="408" w:lineRule="exact"/>
        <w:ind w:left="0" w:right="0" w:firstLine="576"/>
        <w:jc w:val="left"/>
      </w:pPr>
      <w:r>
        <w:rPr>
          <w:u w:val="single"/>
        </w:rPr>
        <w:t xml:space="preserve">(g) Beginning July 1, 2023, a facility specific rate add-on equal to the inflationary adjustment that the facility received for the direct care component in fiscal year 2023 shall be added to the rate.</w:t>
      </w:r>
    </w:p>
    <w:p>
      <w:pPr>
        <w:spacing w:before="0" w:after="0" w:line="408" w:lineRule="exact"/>
        <w:ind w:left="0" w:right="0" w:firstLine="576"/>
        <w:jc w:val="left"/>
      </w:pPr>
      <w:r>
        <w:rPr>
          <w:u w:val="single"/>
        </w:rPr>
        <w:t xml:space="preserve">(h) Beginning July 1, 2023, the funding provided for the inflationary adjustment for the indirect care component from (c) of this subsection (8) must be annually redistributed as specified in (d) of this subsection (8).</w:t>
      </w:r>
    </w:p>
    <w:p>
      <w:pPr>
        <w:spacing w:before="0" w:after="0" w:line="408" w:lineRule="exact"/>
        <w:ind w:left="0" w:right="0" w:firstLine="576"/>
        <w:jc w:val="left"/>
      </w:pPr>
      <w:r>
        <w:rPr>
          <w:u w:val="single"/>
        </w:rPr>
        <w:t xml:space="preserve">(i) The department shall review the calendar year cost reports from 2018 through 2021 and compare medicaid allowable costs in direct care and indirect care to rates paid to determine the impacts of annual inflationary adjustments. Based on its findings, the department shall make recommendations for ongoing inflation to the legislature. This report is due to appropriate committees of the legislature by December 1, 2022</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in consultation with the health care authority and stakeholders, shall review the impact of the distribution of the inflationary adjustment for the indirect care component and report its findings and recommendations to the appropriate committees of the legislature by December 1, 2021. To the extent practicable, the department's report must include a comparative analysis of the following metrics before and after the effective date of this section:</w:t>
      </w:r>
    </w:p>
    <w:p>
      <w:pPr>
        <w:spacing w:before="0" w:after="0" w:line="408" w:lineRule="exact"/>
        <w:ind w:left="0" w:right="0" w:firstLine="576"/>
        <w:jc w:val="left"/>
      </w:pPr>
      <w:r>
        <w:rPr/>
        <w:t xml:space="preserve">(1) Skilled nursing facility residents' emergency department visits;</w:t>
      </w:r>
    </w:p>
    <w:p>
      <w:pPr>
        <w:spacing w:before="0" w:after="0" w:line="408" w:lineRule="exact"/>
        <w:ind w:left="0" w:right="0" w:firstLine="576"/>
        <w:jc w:val="left"/>
      </w:pPr>
      <w:r>
        <w:rPr/>
        <w:t xml:space="preserve">(2) Case mix acuity;</w:t>
      </w:r>
    </w:p>
    <w:p>
      <w:pPr>
        <w:spacing w:before="0" w:after="0" w:line="408" w:lineRule="exact"/>
        <w:ind w:left="0" w:right="0" w:firstLine="576"/>
        <w:jc w:val="left"/>
      </w:pPr>
      <w:r>
        <w:rPr/>
        <w:t xml:space="preserve">(3) The number of long-term services and supports medicaid clients that are being served in nursing homes; and</w:t>
      </w:r>
    </w:p>
    <w:p>
      <w:pPr>
        <w:spacing w:before="0" w:after="0" w:line="408" w:lineRule="exact"/>
        <w:ind w:left="0" w:right="0" w:firstLine="576"/>
        <w:jc w:val="left"/>
      </w:pPr>
      <w:r>
        <w:rPr/>
        <w:t xml:space="preserve">(4) The number of licensed nursing homes and the number of licensed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2SSB 6515</w:t>
      </w:r>
      <w:r>
        <w:t xml:space="preserve"> -</w:t>
      </w:r>
      <w:r>
        <w:t xml:space="preserve"> </w:t>
        <w:t xml:space="preserve">S AMD</w:t>
      </w:r>
      <w:r>
        <w:t xml:space="preserve"> </w:t>
      </w:r>
      <w:r>
        <w:rPr>
          <w:b/>
        </w:rPr>
        <w:t xml:space="preserve">1234</w:t>
      </w:r>
    </w:p>
    <w:p>
      <w:pPr>
        <w:spacing w:before="0" w:after="0" w:line="408" w:lineRule="exact"/>
        <w:ind w:left="0" w:right="0" w:firstLine="576"/>
        <w:jc w:val="left"/>
      </w:pPr>
      <w:r>
        <w:rPr/>
        <w:t xml:space="preserve">By Senator Van De Wege</w:t>
      </w:r>
    </w:p>
    <w:p>
      <w:pPr>
        <w:jc w:val="right"/>
      </w:pPr>
      <w:r>
        <w:rPr>
          <w:b/>
        </w:rPr>
        <w:t xml:space="preserve">ADOPTED 03/04/2020</w:t>
      </w:r>
    </w:p>
    <w:p>
      <w:pPr>
        <w:spacing w:before="0" w:after="0" w:line="408" w:lineRule="exact"/>
        <w:ind w:left="0" w:right="0" w:firstLine="576"/>
        <w:jc w:val="left"/>
      </w:pPr>
      <w:r>
        <w:rPr/>
        <w:t xml:space="preserve">On page 1, line 1 of the title, after "facilities;" strike the remainder of the title and insert "amending RCW 18.51.091, 18.51.230, 74.42.360, and 74.46.561; adding a new section to chapter 74.46 RCW; creating a new section; and declaring an emergency."</w:t>
      </w:r>
    </w:p>
    <w:p>
      <w:pPr>
        <w:spacing w:before="0" w:after="0" w:line="408" w:lineRule="exact"/>
        <w:ind w:left="0" w:right="0" w:firstLine="576"/>
        <w:jc w:val="left"/>
      </w:pPr>
      <w:r>
        <w:rPr>
          <w:u w:val="single"/>
        </w:rPr>
        <w:t xml:space="preserve">EFFECT:</w:t>
      </w:r>
      <w:r>
        <w:rPr/>
        <w:t xml:space="preserve"> Removes the requirement that the inflationary adjustment be distributed according to a facility's occupancy and replaces it with a requirement that the inflationary adjustment for the indirect care component be distributed according to a facility's number of outpatient emergency department visits for long-stay patients. Directs DSHS to review the impact of the distribution requirement and report its findings to the Legislature by December 1, 2021. Removes the bed-hold reimbursement for hospitalized residents.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b3642a81146b6" /></Relationships>
</file>