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d178c75d04cb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1056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Orwall, Sells, Appleton, Jinkins, Macri, Wylie, Bergquist, Doglio, Stanford, and Reeves</w:t>
      </w:r>
    </w:p>
    <w:p/>
    <w:p>
      <w:r>
        <w:rPr>
          <w:t xml:space="preserve">Prefiled 12/14/18.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2020; and</w:t>
      </w:r>
    </w:p>
    <w:p>
      <w:pPr>
        <w:spacing w:before="0" w:after="0" w:line="408" w:lineRule="exact"/>
        <w:ind w:left="0" w:right="0" w:firstLine="576"/>
        <w:jc w:val="left"/>
      </w:pPr>
      <w:r>
        <w:rPr/>
        <w:t xml:space="preserve">(b) A final report with its findings and recommendations to the appropriate committees of the legislature by December 1, 2021.</w:t>
      </w:r>
    </w:p>
    <w:p>
      <w:pPr>
        <w:spacing w:before="0" w:after="0" w:line="408" w:lineRule="exact"/>
        <w:ind w:left="0" w:right="0" w:firstLine="576"/>
        <w:jc w:val="left"/>
      </w:pPr>
      <w:r>
        <w:rPr/>
        <w:t xml:space="preserve">(7) This section expires June 30, 2022.</w:t>
      </w:r>
    </w:p>
    <w:p/>
    <w:p>
      <w:pPr>
        <w:jc w:val="center"/>
      </w:pPr>
      <w:r>
        <w:rPr>
          <w:b/>
        </w:rPr>
        <w:t>--- END ---</w:t>
      </w:r>
    </w:p>
    <w:sectPr>
      <w:pgNumType w:start="1"/>
      <w:footerReference xmlns:r="http://schemas.openxmlformats.org/officeDocument/2006/relationships" r:id="R5bec285e356743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f0790401346f1" /><Relationship Type="http://schemas.openxmlformats.org/officeDocument/2006/relationships/footer" Target="/word/footer1.xml" Id="R5bec285e35674367" /></Relationships>
</file>