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7289566d34d93" /></Relationships>
</file>

<file path=word/document.xml><?xml version="1.0" encoding="utf-8"?>
<w:document xmlns:w="http://schemas.openxmlformats.org/wordprocessingml/2006/main">
  <w:body>
    <w:p>
      <w:r>
        <w:t>H-4204.1</w:t>
      </w:r>
    </w:p>
    <w:p>
      <w:pPr>
        <w:jc w:val="center"/>
      </w:pPr>
      <w:r>
        <w:t>_______________________________________________</w:t>
      </w:r>
    </w:p>
    <w:p/>
    <w:p>
      <w:pPr>
        <w:jc w:val="center"/>
      </w:pPr>
      <w:r>
        <w:rPr>
          <w:b/>
        </w:rPr>
        <w:t>SECOND SUBSTITUTE HOUSE BILL 1076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Dolan and Jinkins; by request of Superintendent of Public Instruction)</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common school provisions; amending RCW 28A.175.025 and 28A.300.310; and adding a new section to chapter 28A.320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t xml:space="preserve">Subject to the availability of funds appropriated for this purpose, the office of the superintendent of public instruction shall create a grant program and award grants to local partnerships of schools, families, and communities to begin the phase in of a statewide comprehensive dropout prevention, intervention, and retrieval system. This program shall be known as the building bridges program.</w:t>
      </w:r>
    </w:p>
    <w:p>
      <w:pPr>
        <w:spacing w:before="0" w:after="0" w:line="408" w:lineRule="exact"/>
        <w:ind w:left="0" w:right="0" w:firstLine="576"/>
        <w:jc w:val="left"/>
      </w:pPr>
      <w:r>
        <w:rPr/>
        <w:t xml:space="preserve">(1) For purposes of RCW 28A.175.025 through 28A.175.075, a "building bridges program" means a local partnership of schools, families, and communities that provides </w:t>
      </w:r>
      <w:r>
        <w:t>((</w:t>
      </w:r>
      <w:r>
        <w:rPr>
          <w:strike/>
        </w:rPr>
        <w:t xml:space="preserve">all</w:t>
      </w:r>
      <w:r>
        <w:t>))</w:t>
      </w:r>
      <w:r>
        <w:rPr/>
        <w:t xml:space="preserve"> </w:t>
      </w:r>
      <w:r>
        <w:rPr>
          <w:u w:val="single"/>
        </w:rPr>
        <w:t xml:space="preserve">one or more</w:t>
      </w:r>
      <w:r>
        <w:rPr/>
        <w:t xml:space="preserve"> of the following programs or activities:</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 including a plan for educational success as already required by the student learning plan as defined under RCW 28A.655.061.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w:t>
      </w:r>
      <w:r>
        <w:t>((</w:t>
      </w:r>
      <w:r>
        <w:rPr>
          <w:strike/>
        </w:rPr>
        <w:t xml:space="preserve">and</w:t>
      </w:r>
      <w:r>
        <w:t>))</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t xml:space="preserve">(a) Establish programs in two western Washington and one eastern Washington urban areas;</w:t>
      </w:r>
    </w:p>
    <w:p>
      <w:pPr>
        <w:spacing w:before="0" w:after="0" w:line="408" w:lineRule="exact"/>
        <w:ind w:left="0" w:right="0" w:firstLine="576"/>
        <w:jc w:val="left"/>
      </w:pPr>
      <w:r>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t xml:space="preserve">(d) Submit a report to the legislature by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 identify a collection of reading passages and assessment procedures that can be used to measure second grade</w:t>
      </w:r>
      <w:r>
        <w:t>))</w:t>
      </w:r>
      <w:r>
        <w:rPr/>
        <w:t xml:space="preserve"> </w:t>
      </w:r>
      <w:r>
        <w:rPr>
          <w:u w:val="single"/>
        </w:rPr>
        <w:t xml:space="preserve">recognizes the importance of</w:t>
      </w:r>
      <w:r>
        <w:rPr/>
        <w:t xml:space="preserve"> oral reading accuracy </w:t>
      </w:r>
      <w:r>
        <w:t>((</w:t>
      </w:r>
      <w:r>
        <w:rPr>
          <w:strike/>
        </w:rPr>
        <w:t xml:space="preserve">and</w:t>
      </w:r>
      <w:r>
        <w:t>))</w:t>
      </w:r>
      <w:r>
        <w:rPr>
          <w:u w:val="single"/>
        </w:rPr>
        <w:t xml:space="preserve">,</w:t>
      </w:r>
      <w:r>
        <w:rPr/>
        <w:t xml:space="preserve"> fluency </w:t>
      </w:r>
      <w:r>
        <w:t>((</w:t>
      </w:r>
      <w:r>
        <w:rPr>
          <w:strike/>
        </w:rPr>
        <w:t xml:space="preserve">skills</w:t>
      </w:r>
      <w:r>
        <w:t>))</w:t>
      </w:r>
      <w:r>
        <w:rPr>
          <w:u w:val="single"/>
        </w:rPr>
        <w:t xml:space="preserve">, and comprehension</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w:t>
      </w:r>
      <w:r>
        <w:rPr>
          <w:u w:val="single"/>
        </w:rPr>
        <w:t xml:space="preserve">passages used for the</w:t>
      </w:r>
      <w:r>
        <w:rPr/>
        <w:t xml:space="preserve"> assessment </w:t>
      </w:r>
      <w:r>
        <w:t>((</w:t>
      </w:r>
      <w:r>
        <w:rPr>
          <w:strike/>
        </w:rPr>
        <w:t xml:space="preserve">procedures and each of the reading passages in the collection</w:t>
      </w:r>
      <w:r>
        <w:t>))</w:t>
      </w:r>
      <w:r>
        <w:rPr/>
        <w:t xml:space="preserve"> must </w:t>
      </w:r>
      <w:r>
        <w:rPr>
          <w:u w:val="single"/>
        </w:rPr>
        <w:t xml:space="preserve">meet the following criteria and be administered according to the publishers' guidelines</w:t>
      </w:r>
      <w:r>
        <w:rPr/>
        <w:t xml:space="preserve">:</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w:t>
      </w:r>
      <w:r>
        <w:t>((</w:t>
      </w:r>
      <w:r>
        <w:rPr>
          <w:strike/>
        </w:rPr>
        <w:t xml:space="preserve">a panel of</w:t>
      </w:r>
      <w:r>
        <w:t>))</w:t>
      </w:r>
      <w:r>
        <w:rPr/>
        <w:t xml:space="preserve">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needed to implement the district's reading assessment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For the purposes of this chapter and chapter 28A.232 RCW, "personalized learning" means a delivery method of basic education instruction where learning is tailored for each student's strengths, needs, and interests. This includes enabling student choice in what, how, when, and where they learn in order to provide flexibility and supports for students to meet state learning standards.</w:t>
      </w:r>
    </w:p>
    <w:p>
      <w:pPr>
        <w:spacing w:before="0" w:after="0" w:line="408" w:lineRule="exact"/>
        <w:ind w:left="0" w:right="0" w:firstLine="576"/>
        <w:jc w:val="left"/>
      </w:pPr>
      <w:r>
        <w:rPr/>
        <w:t xml:space="preserve">(2) School districts may implement personalized learning through a variety of methods or settings including, but not limited to, project-based learning, mastery-based learning, individualized education programs, career and technical education, reengagement schools, magnet schools, and other innovative programs at the discretion of the school districts.</w:t>
      </w:r>
    </w:p>
    <w:p>
      <w:pPr>
        <w:spacing w:before="0" w:after="0" w:line="408" w:lineRule="exact"/>
        <w:ind w:left="0" w:right="0" w:firstLine="576"/>
        <w:jc w:val="left"/>
      </w:pPr>
      <w:r>
        <w:rPr/>
        <w:t xml:space="preserve">(3) Nothing in this section is intended to alter the discretion that school districts may exercise in using available school funding models to support the implementation of personalized learning including, but not limited to, personalized learning experience courses as defined in chapter 28A.232 RCW.</w:t>
      </w:r>
    </w:p>
    <w:p>
      <w:pPr>
        <w:spacing w:before="0" w:after="0" w:line="408" w:lineRule="exact"/>
        <w:ind w:left="0" w:right="0" w:firstLine="576"/>
        <w:jc w:val="left"/>
      </w:pPr>
      <w:r>
        <w:rPr/>
        <w:t xml:space="preserve">(4) When the delivery method for personalized learning is provided in whole or in part independently from the regular classroom schedule, the course must comply with the provisions of chapter 28A.232 RCW.</w:t>
      </w:r>
    </w:p>
    <w:p/>
    <w:p>
      <w:pPr>
        <w:jc w:val="center"/>
      </w:pPr>
      <w:r>
        <w:rPr>
          <w:b/>
        </w:rPr>
        <w:t>--- END ---</w:t>
      </w:r>
    </w:p>
    <w:sectPr>
      <w:pgNumType w:start="1"/>
      <w:footerReference xmlns:r="http://schemas.openxmlformats.org/officeDocument/2006/relationships" r:id="R356c5e74b4a84c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1599e84c34df0" /><Relationship Type="http://schemas.openxmlformats.org/officeDocument/2006/relationships/footer" Target="/word/footer1.xml" Id="R356c5e74b4a84c71" /></Relationships>
</file>