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a6317c1e9541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Slatter, Kloba, Peterson, Tharinger, Jinkins, Macri, Cody, Bergquist, Doglio, Robinson, Pollet, Stanford, and Frame)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70.94.431; adding new sections to chapter 70.94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 carbon fuel standards that are similar to the program created in this act.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2015, the transportation sector contributes forty-three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 legislature finds that the people already pay the costs of multiple taxes and regulatory mandates on each molecule of fossil fuels used for transportation, including:</w:t>
      </w:r>
    </w:p>
    <w:p>
      <w:pPr>
        <w:spacing w:before="0" w:after="0" w:line="408" w:lineRule="exact"/>
        <w:ind w:left="0" w:right="0" w:firstLine="576"/>
        <w:jc w:val="left"/>
      </w:pPr>
      <w:r>
        <w:rPr/>
        <w:t xml:space="preserve">(a) The state oil spill response tax;</w:t>
      </w:r>
    </w:p>
    <w:p>
      <w:pPr>
        <w:spacing w:before="0" w:after="0" w:line="408" w:lineRule="exact"/>
        <w:ind w:left="0" w:right="0" w:firstLine="576"/>
        <w:jc w:val="left"/>
      </w:pPr>
      <w:r>
        <w:rPr/>
        <w:t xml:space="preserve">(b) The state oil spill administration tax;</w:t>
      </w:r>
    </w:p>
    <w:p>
      <w:pPr>
        <w:spacing w:before="0" w:after="0" w:line="408" w:lineRule="exact"/>
        <w:ind w:left="0" w:right="0" w:firstLine="576"/>
        <w:jc w:val="left"/>
      </w:pPr>
      <w:r>
        <w:rPr/>
        <w:t xml:space="preserve">(c) The state hazardous substance tax used to fund the state toxics control account, the local toxics control account, and the environmental legacy and stewardship account;</w:t>
      </w:r>
    </w:p>
    <w:p>
      <w:pPr>
        <w:spacing w:before="0" w:after="0" w:line="408" w:lineRule="exact"/>
        <w:ind w:left="0" w:right="0" w:firstLine="576"/>
        <w:jc w:val="left"/>
      </w:pPr>
      <w:r>
        <w:rPr/>
        <w:t xml:space="preserve">(d) The combined state and federal motor vehicle 67.8 cent taxes to fund transportation projects;</w:t>
      </w:r>
    </w:p>
    <w:p>
      <w:pPr>
        <w:spacing w:before="0" w:after="0" w:line="408" w:lineRule="exact"/>
        <w:ind w:left="0" w:right="0" w:firstLine="576"/>
        <w:jc w:val="left"/>
      </w:pPr>
      <w:r>
        <w:rPr/>
        <w:t xml:space="preserve">(e) The federal leaking underground storage tank tax and the state petroleum products tax for underground storage tanks;</w:t>
      </w:r>
    </w:p>
    <w:p>
      <w:pPr>
        <w:spacing w:before="0" w:after="0" w:line="408" w:lineRule="exact"/>
        <w:ind w:left="0" w:right="0" w:firstLine="576"/>
        <w:jc w:val="left"/>
      </w:pPr>
      <w:r>
        <w:rPr/>
        <w:t xml:space="preserve">(f) Applicable state and local sales taxes; and</w:t>
      </w:r>
    </w:p>
    <w:p>
      <w:pPr>
        <w:spacing w:before="0" w:after="0" w:line="408" w:lineRule="exact"/>
        <w:ind w:left="0" w:right="0" w:firstLine="576"/>
        <w:jc w:val="left"/>
      </w:pPr>
      <w:r>
        <w:rPr/>
        <w:t xml:space="preserve">(g) The federal renewable fuel standard.</w:t>
      </w:r>
    </w:p>
    <w:p>
      <w:pPr>
        <w:spacing w:before="0" w:after="0" w:line="408" w:lineRule="exact"/>
        <w:ind w:left="0" w:right="0" w:firstLine="576"/>
        <w:jc w:val="left"/>
      </w:pPr>
      <w:r>
        <w:rPr/>
        <w:t xml:space="preserve">(4)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13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equal to one metric ton of carbon dioxide equivalents.</w:t>
      </w:r>
    </w:p>
    <w:p>
      <w:pPr>
        <w:spacing w:before="0" w:after="0" w:line="408" w:lineRule="exact"/>
        <w:ind w:left="0" w:right="0" w:firstLine="576"/>
        <w:jc w:val="left"/>
      </w:pPr>
      <w:r>
        <w:rPr/>
        <w:t xml:space="preserve">(4)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(8) "Motor vehicle" has the same meaning as defined in RCW 46.04.320.</w:t>
      </w:r>
    </w:p>
    <w:p>
      <w:pPr>
        <w:spacing w:before="0" w:after="0" w:line="408" w:lineRule="exact"/>
        <w:ind w:left="0" w:right="0" w:firstLine="576"/>
        <w:jc w:val="left"/>
      </w:pPr>
      <w:r>
        <w:rPr/>
        <w:t xml:space="preserve">(9)(a)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(10)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t xml:space="preserve">(11) "Cost" means an expense connected to the manufacture, distribution, or other aspects of the provision of a transportation fuel product.</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standards established by the rules must be based on the carbon intensity of gasoline and gasoline substitutes and the carbon intensity of diesel and diesel substitutes. The rules adopted under this section must reduce the greenhouse gas emissions attributable to each unit of the fuels to ten percent below 2017 levels by 2028 and twenty percent below 2017 levels by 2035. The rules must establish a start date for the clean fuels program of no later than January 1, 2021.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 and</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 At minimum, the department must consider associated changes in land use in determining the carbon intensity of transportation fuel produced in whole or in part from sugar cane;</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70.94.151(5)(a)(iii).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 Under the program, zero associated lifecycle greenhouse gas emissions must be attributed to electricity produced from hydroelectric generation, including incremental hydroelectric generation. Electricity from hydroelectric generation, including incremental hydroelectric generation, that is used as transportation fuel must be provided credit under the program. For the purposes of this section, "incremental hydroelectric generation" means electricity produced as a result of efficiency improvements from hydroelectric generation projects where the additional generation does not result in new water diversions or impoundments;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eighty percent of the 2017 levels established in section 3 of this act are not eligible to generate credits under the clean fuels program. Transportation fuels that are refined or otherwise wholly or partly derived from palm oil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electricity and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 or</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section 4(5) of this act.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act.</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electric vehicles using electricity certified by the department to have a carbon intensity of zero. Such electricity must include, at minimum:</w:t>
      </w:r>
    </w:p>
    <w:p>
      <w:pPr>
        <w:spacing w:before="0" w:after="0" w:line="408" w:lineRule="exact"/>
        <w:ind w:left="0" w:right="0" w:firstLine="576"/>
        <w:jc w:val="left"/>
      </w:pPr>
      <w:r>
        <w:rPr/>
        <w:t xml:space="preserve">(i) Electricity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(ii) Electricity produced using a zero emission resource, including but not limited to solar, wind, geothermal, or the industrial combustion of biomass consistent with RCW 70.235.020(3), that is directly supplied as a transportation fuel by the generator of the electricity;</w:t>
      </w:r>
    </w:p>
    <w:p>
      <w:pPr>
        <w:spacing w:before="0" w:after="0" w:line="408" w:lineRule="exact"/>
        <w:ind w:left="0" w:right="0" w:firstLine="576"/>
        <w:jc w:val="left"/>
      </w:pPr>
      <w:r>
        <w:rPr/>
        <w:t xml:space="preserve">(c) The provision of zero emission vehicle refueling infrastructure, including but not limited to fast charging battery electric vehicle infrastructure and hydrogen electric vehicle refueling infrastructure;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by the department may establish limits for the number of credits that may be earned each year by persons participating in the program for some or all of the activities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sections 2 through 11 of this act, the department should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In adopting rules under sections 3 and 4 of this act, the department must consider whether actions taken or credits generated under the clean fuels program are eligible for purposes of compliance with the clean air rule, chapter 173-442 WAC as it existed as of October 16, 2016,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w:t>
      </w:r>
      <w:r>
        <w:t xml:space="preserve">94</w:t>
      </w:r>
      <w:r>
        <w:rPr/>
        <w:t xml:space="preserve">.</w:t>
      </w:r>
      <w:r>
        <w:t xml:space="preserve">205</w:t>
      </w:r>
      <w:r>
        <w:rPr/>
        <w:t xml:space="preserve"> applies to records or information submitted to the department under sections 2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located within or directly benefiting a federally designated nonattainment or maintenance area, a federally designated nonattainment or maintenance area that existed as of the effective date of this section, or an area designated by the department as being at risk of nonattainment, if such a nonattainment or maintenance area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fifty percent of revenues not subject to the requirements of subsection (1) of this section.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(b) "Renewable resource" means: (i) Water; (ii) wind; (iii) solar energy; (iv) geothermal energy; (v) renewable natural gas as defined in RCW 54.04.190; (vi) renewable hydrogen; (vii) wave, ocean, or tidal power; (viii) biodiesel fuel that is not derived from crops raised on land cleared from old growth or first growth forests; or (ix) biomass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2023, and each May 1st thereafter, the department must post a report on the department's web 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subsection (1) of this section is posted to the department's web 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By December 1, 2022, and each December 1st thereafter, the department must submit recommendations to the appropriate committees of the house of representatives and senate, in the form of draft legislation, for any changes to sections 2 through 13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(3) The department must identify the sources of information it relied upon in each report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0" w:after="0" w:line="408" w:lineRule="exact"/>
        <w:ind w:left="0" w:right="0" w:firstLine="576"/>
        <w:jc w:val="left"/>
      </w:pPr>
      <w:r>
        <w:rPr/>
        <w:t xml:space="preserve">(5) The department of commerce must identify the sources of information it relied upon in each fuel supply forecast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sections 2 through 13 of this act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section and sections 2 through 11 of this act must be deposited into the account. Moneys in the account may be spent only after appropriation. The department may only use expenditures from the account for carrying out the program created in this section and sections 2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2027,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act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rPr>
          <w:u w:val="single"/>
        </w:rPr>
        <w:t xml:space="preserve">Except as provided in section 12 of this act, a</w:t>
      </w:r>
      <w:r>
        <w:rPr/>
        <w:t xml:space="preserve">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1c87ac63d50b4f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783c3ffec46eb" /><Relationship Type="http://schemas.openxmlformats.org/officeDocument/2006/relationships/footer" Target="/word/footer1.xml" Id="R1c87ac63d50b4f73" /></Relationships>
</file>