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5247ea735a45a3" /></Relationships>
</file>

<file path=word/document.xml><?xml version="1.0" encoding="utf-8"?>
<w:document xmlns:w="http://schemas.openxmlformats.org/wordprocessingml/2006/main">
  <w:body>
    <w:p>
      <w:r>
        <w:t>H-1116.1</w:t>
      </w:r>
    </w:p>
    <w:p>
      <w:pPr>
        <w:jc w:val="center"/>
      </w:pPr>
      <w:r>
        <w:t>_______________________________________________</w:t>
      </w:r>
    </w:p>
    <w:p/>
    <w:p>
      <w:pPr>
        <w:jc w:val="center"/>
      </w:pPr>
      <w:r>
        <w:rPr>
          <w:b/>
        </w:rPr>
        <w:t>SUBSTITUTE HOUSE BILL 1114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Doglio, Slatter, Fey, Peterson, Ryu, Fitzgibbon, Tharinger, Jinkins, Macri, and Walen)</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wasting of food in order to fight hunger and reduce environmental impacts; amending RCW 70.93.180, 70.95.090, and 70.105D.070;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 and</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representatives of each of the two largest caucuses of the house of representatives and each of the two largest caucuses of the senate, respectively invited upon designation by the speaker of the house of representatives and the president of the senate, and, at minimum: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 order to achieve the goal established in subsection (1) of this section. Any such recommendations must be explained via a report to the legislature submitted consistent with RCW 43.01.036 by December 1, 2020. In conjunction with the submission of the report and prior to any implementation of the plan, for any of the activities, programs, or policies in the plan that would impose new obligations on state agencies, local governments, businesses, or citizens, the department or the appropriate state agency must submit agency request legislation, in combination with expected cost estimates for both government entities and private persons or businesses.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r>
        <w:rPr>
          <w:u w:val="single"/>
        </w:rPr>
        <w:t xml:space="preserve">. Programs under this subsection include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w:t>
      </w:r>
      <w:r>
        <w:rPr>
          <w:u w:val="single"/>
        </w:rPr>
        <w:t xml:space="preserve">, including programs that are designed to achieve the goals established in section 2(1) of this act and that are consistent with the plan developed in section 2(3) of this act</w:t>
      </w:r>
      <w:r>
        <w:rPr/>
        <w:t xml:space="preserve">.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
      <w:pPr>
        <w:jc w:val="center"/>
      </w:pPr>
      <w:r>
        <w:rPr>
          <w:b/>
        </w:rPr>
        <w:t>--- END ---</w:t>
      </w:r>
    </w:p>
    <w:sectPr>
      <w:pgNumType w:start="1"/>
      <w:footerReference xmlns:r="http://schemas.openxmlformats.org/officeDocument/2006/relationships" r:id="Rc795e69b32b044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836ccdcb14384" /><Relationship Type="http://schemas.openxmlformats.org/officeDocument/2006/relationships/footer" Target="/word/footer1.xml" Id="Rc795e69b32b0441a" /></Relationships>
</file>