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e70170eb6e4061" /></Relationships>
</file>

<file path=word/document.xml><?xml version="1.0" encoding="utf-8"?>
<w:document xmlns:w="http://schemas.openxmlformats.org/wordprocessingml/2006/main">
  <w:body>
    <w:p>
      <w:r>
        <w:t>H-0376.2</w:t>
      </w:r>
    </w:p>
    <w:p>
      <w:pPr>
        <w:jc w:val="center"/>
      </w:pPr>
      <w:r>
        <w:t>_______________________________________________</w:t>
      </w:r>
    </w:p>
    <w:p/>
    <w:p>
      <w:pPr>
        <w:jc w:val="center"/>
      </w:pPr>
      <w:r>
        <w:rPr>
          <w:b/>
        </w:rPr>
        <w:t>HOUSE BILL 1168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Leavitt, Barkis, Kilduff, Jinkins, MacEwen, Goodman, Macri, Pollet, Callan, Wylie, Chapman, Valdez, Fey, Doglio, and Kloba</w:t>
      </w:r>
    </w:p>
    <w:p/>
    <w:p>
      <w:r>
        <w:rPr>
          <w:t xml:space="preserve">Read first time 01/16/19.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sales and use and excise tax exemptions for self-help housing development; reenacting and amending RCW 82.45.010; adding a new section to chapter 82.08 RCW; adding a new section to chapter 82.12 RCW; creating a new section;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this act. This performance statement is only intended to be used for subsequent evaluation of the tax preference. It is not intended to create a private right of action by any part or be used to determine eligibility for a preferential tax treatment.</w:t>
      </w:r>
    </w:p>
    <w:p>
      <w:pPr>
        <w:spacing w:before="0" w:after="0" w:line="408" w:lineRule="exact"/>
        <w:ind w:left="0" w:right="0" w:firstLine="576"/>
        <w:jc w:val="left"/>
      </w:pPr>
      <w:r>
        <w:rPr/>
        <w:t xml:space="preserve">(2) The legislature categorizes the tax preference as one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provide retail sales and use tax and real estate excise tax relief to developers of self-help housing to encourage continued development of self-help housing.</w:t>
      </w:r>
    </w:p>
    <w:p>
      <w:pPr>
        <w:spacing w:before="0" w:after="0" w:line="408" w:lineRule="exact"/>
        <w:ind w:left="0" w:right="0" w:firstLine="576"/>
        <w:jc w:val="left"/>
      </w:pPr>
      <w:r>
        <w:rPr/>
        <w:t xml:space="preserve">(4) The joint legislative audit and review committee is directed to review:</w:t>
      </w:r>
    </w:p>
    <w:p>
      <w:pPr>
        <w:spacing w:before="0" w:after="0" w:line="408" w:lineRule="exact"/>
        <w:ind w:left="0" w:right="0" w:firstLine="576"/>
        <w:jc w:val="left"/>
      </w:pPr>
      <w:r>
        <w:rPr/>
        <w:t xml:space="preserve">(a) The total number of taxpayers that claimed the tax preferences; and</w:t>
      </w:r>
    </w:p>
    <w:p>
      <w:pPr>
        <w:spacing w:before="0" w:after="0" w:line="408" w:lineRule="exact"/>
        <w:ind w:left="0" w:right="0" w:firstLine="576"/>
        <w:jc w:val="left"/>
      </w:pPr>
      <w:r>
        <w:rPr/>
        <w:t xml:space="preserve">(b) The total amount of retail sales and use tax and real estate excise tax revenue that was exempt under this act, annually.</w:t>
      </w:r>
    </w:p>
    <w:p>
      <w:pPr>
        <w:spacing w:before="0" w:after="0" w:line="408" w:lineRule="exact"/>
        <w:ind w:left="0" w:right="0" w:firstLine="576"/>
        <w:jc w:val="left"/>
      </w:pPr>
      <w:r>
        <w:rPr/>
        <w:t xml:space="preserve">(5) In order to obtain this section, the joint legislative audit and review committee may refer to department of revenue data, as well as any other available data source.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charges made for labor and services rendered by or for any affordable homeownership facilitator in respect to the constructing, repairing, decorating, or improving of new or existing self-help housing, or to sales of tangible personal property that becomes an ingredient or component of the buildings or other structures during the course of the constructing, repairing, decorating, or improving the self-help housing. The exemption is available only if the buyer provides the seller with an exemption certificate in a form and manner required by the department.</w:t>
      </w:r>
    </w:p>
    <w:p>
      <w:pPr>
        <w:spacing w:before="0" w:after="0" w:line="408" w:lineRule="exact"/>
        <w:ind w:left="0" w:right="0" w:firstLine="576"/>
        <w:jc w:val="left"/>
      </w:pPr>
      <w:r>
        <w:rPr/>
        <w:t xml:space="preserve">(2) The exemption provided in this section for self-help housing only applies if the housing is built to the current building code for single-family dwellings according to the state building code, chapter  19.27  RCW.</w:t>
      </w:r>
    </w:p>
    <w:p>
      <w:pPr>
        <w:spacing w:before="0" w:after="0" w:line="408" w:lineRule="exact"/>
        <w:ind w:left="0" w:right="0" w:firstLine="576"/>
        <w:jc w:val="left"/>
      </w:pPr>
      <w:r>
        <w:rPr/>
        <w:t xml:space="preserve">(3) Any self-help housing built under this section must be used as provided in this section for at least twenty consecutive years from the date the housing is approved for occupancy, or the full amount of tax otherwise due is immediately due and payable together with interest, but not penalties, from the date the housing was approved for occupancy until the date of payment. If self-help housing ceases to be the primary dwelling of the initial low-income purchaser within the twenty consecutive years from the date the housing is approved for occupancy, the full amount of tax otherwise due is immediately due and payable with interest, but not penalties, from the date the housing ceases to be used as self-help housing until the date of payment. The amount due under this subsection is payable by the seller.</w:t>
      </w:r>
    </w:p>
    <w:p>
      <w:pPr>
        <w:spacing w:before="0" w:after="0" w:line="408" w:lineRule="exact"/>
        <w:ind w:left="0" w:right="0" w:firstLine="576"/>
        <w:jc w:val="left"/>
      </w:pPr>
      <w:r>
        <w:rPr/>
        <w:t xml:space="preserve">(4) The exemption provided in this section does not apply to housing built for the occupancy of an employee, family members of an employee, or persons on the board of trustees or directors, of an affordable homeownership facilitator.</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"Affordable homeownership facilitator" means a nonprofit community or neighborhood-based organization that is exempt from income tax under Title 26 U.S.C. Sec. 501(c) of the internal revenue code of 1986, as amended, as of the effective date of this section and that is the developer of self-help housing.</w:t>
      </w:r>
    </w:p>
    <w:p>
      <w:pPr>
        <w:spacing w:before="0" w:after="0" w:line="408" w:lineRule="exact"/>
        <w:ind w:left="0" w:right="0" w:firstLine="576"/>
        <w:jc w:val="left"/>
      </w:pPr>
      <w:r>
        <w:rPr/>
        <w:t xml:space="preserve">(b) "Low-income" means household income as defined by the department, provided that the definition may not exceed eighty percent of median household income, adjusted for household size, for the county in which the dwelling is located.</w:t>
      </w:r>
    </w:p>
    <w:p>
      <w:pPr>
        <w:spacing w:before="0" w:after="0" w:line="408" w:lineRule="exact"/>
        <w:ind w:left="0" w:right="0" w:firstLine="576"/>
        <w:jc w:val="left"/>
      </w:pPr>
      <w:r>
        <w:rPr/>
        <w:t xml:space="preserve">(c) "Self-help housing" means dwelling residences provided for ownership by low-income individuals and families whose ownership requirement includes labor participation. "Self-help housing" does not include residential rental housing provided on a commercial basis to the general public.</w:t>
      </w:r>
    </w:p>
    <w:p>
      <w:pPr>
        <w:spacing w:before="0" w:after="0" w:line="408" w:lineRule="exact"/>
        <w:ind w:left="0" w:right="0" w:firstLine="576"/>
        <w:jc w:val="left"/>
      </w:pPr>
      <w:r>
        <w:rPr/>
        <w:t xml:space="preserve">(6) This section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in respect to the use of tangible personal property that becomes an ingredient or component of buildings or structures used as self-help housing by any affordable homeownership facilitator during the course of constructing, repairing, decorating, or improving the buildings or other structures by any person.</w:t>
      </w:r>
    </w:p>
    <w:p>
      <w:pPr>
        <w:spacing w:before="0" w:after="0" w:line="408" w:lineRule="exact"/>
        <w:ind w:left="0" w:right="0" w:firstLine="576"/>
        <w:jc w:val="left"/>
      </w:pPr>
      <w:r>
        <w:rPr/>
        <w:t xml:space="preserve">(2) The exemption provided in this section for self-help housing only applies if the housing is built to the current building code for single-family dwellings according to the state building code, chapter  19.27  RCW.</w:t>
      </w:r>
    </w:p>
    <w:p>
      <w:pPr>
        <w:spacing w:before="0" w:after="0" w:line="408" w:lineRule="exact"/>
        <w:ind w:left="0" w:right="0" w:firstLine="576"/>
        <w:jc w:val="left"/>
      </w:pPr>
      <w:r>
        <w:rPr/>
        <w:t xml:space="preserve">(3) Any self-help housing built under this section must be used as the primary dwelling of the initial low-income purchaser for at least twenty consecutive years from the date the housing is approved for occupancy.</w:t>
      </w:r>
    </w:p>
    <w:p>
      <w:pPr>
        <w:spacing w:before="0" w:after="0" w:line="408" w:lineRule="exact"/>
        <w:ind w:left="0" w:right="0" w:firstLine="576"/>
        <w:jc w:val="left"/>
      </w:pPr>
      <w:r>
        <w:rPr/>
        <w:t xml:space="preserve">(4) The exemption provided in this section does not apply to housing built for the occupancy of an employee, family members of an employee, or persons on the board of trustees or directors, of an affordable homeownership facilitator.</w:t>
      </w:r>
    </w:p>
    <w:p>
      <w:pPr>
        <w:spacing w:before="0" w:after="0" w:line="408" w:lineRule="exact"/>
        <w:ind w:left="0" w:right="0" w:firstLine="576"/>
        <w:jc w:val="left"/>
      </w:pPr>
      <w:r>
        <w:rPr/>
        <w:t xml:space="preserve">(5) The definitions in section 2 of this act apply to this section.</w:t>
      </w:r>
    </w:p>
    <w:p>
      <w:pPr>
        <w:spacing w:before="0" w:after="0" w:line="408" w:lineRule="exact"/>
        <w:ind w:left="0" w:right="0" w:firstLine="576"/>
        <w:jc w:val="left"/>
      </w:pPr>
      <w:r>
        <w:rPr/>
        <w:t xml:space="preserve">(6) This section expires January 1,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2018 c 223 s 3 and 2018 c 221 s 1 are each reenacted and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twelve-month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twelve-month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sixty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twelve-month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 that takes place on or after June 12, 2008, but before December 31, 2018.</w:t>
      </w:r>
    </w:p>
    <w:p>
      <w:pPr>
        <w:spacing w:before="0" w:after="0" w:line="408" w:lineRule="exact"/>
        <w:ind w:left="0" w:right="0" w:firstLine="576"/>
        <w:jc w:val="left"/>
      </w:pPr>
      <w:r>
        <w:rPr/>
        <w:t xml:space="preserve">(s)(i) A transfer of a qualified low-income housing development or controlling interest in a qualified low-income housing development, unless, due to noncompliance with federal statutory requirements, the seller is subject to recapture, in whole or in part, of its allocated federal low-income housing tax credits within the four years prior to the date of transfer.</w:t>
      </w:r>
    </w:p>
    <w:p>
      <w:pPr>
        <w:spacing w:before="0" w:after="0" w:line="408" w:lineRule="exact"/>
        <w:ind w:left="0" w:right="0" w:firstLine="576"/>
        <w:jc w:val="left"/>
      </w:pPr>
      <w:r>
        <w:rPr/>
        <w:t xml:space="preserve">(ii) For purposes of this subsection (3)(s), "qualified low-income housing development" means real property and improvements in respect to which the seller or, in the case of a transfer of a controlling interest, the owner or beneficial owner, was allocated federal low-income housing tax credits authorized under 26 U.S.C. Sec. 42 or successor statute, by the Washington state housing finance commission or successor state-authorized tax credit allocating agency.</w:t>
      </w:r>
    </w:p>
    <w:p>
      <w:pPr>
        <w:spacing w:before="0" w:after="0" w:line="408" w:lineRule="exact"/>
        <w:ind w:left="0" w:right="0" w:firstLine="576"/>
        <w:jc w:val="left"/>
      </w:pPr>
      <w:r>
        <w:rPr/>
        <w:t xml:space="preserve">(iii) This subsection (3)(s) does not apply to transfers of a qualified low-income housing development or controlling interest in a qualified low-income housing development occurring on or after July 1, 2035.</w:t>
      </w:r>
    </w:p>
    <w:p>
      <w:pPr>
        <w:spacing w:before="0" w:after="0" w:line="408" w:lineRule="exact"/>
        <w:ind w:left="0" w:right="0" w:firstLine="576"/>
        <w:jc w:val="left"/>
      </w:pPr>
      <w:r>
        <w:rPr/>
        <w:t xml:space="preserve">(iv) The Washington state housing finance commission, in consultation with the department, must gather data on: (A) The fiscal savings, if any, accruing to transferees as a result of the exemption provided in this subsection (3)(s); (B) the extent to which transferors of qualified low-income housing developments receive consideration, including any assumption of debt, as part of a transfer subject to the exemption provided in this subsection (3)(s); and (C) the continued use of the property for low-income housing. The Washington state housing finance commission must provide this information to the joint legislative audit and review committee. The committee must conduct a review of the tax preference created under this subsection (3)(s) in calendar year 2033, as required under chapter 43.136 RCW.</w:t>
      </w:r>
    </w:p>
    <w:p>
      <w:pPr>
        <w:spacing w:before="0" w:after="0" w:line="408" w:lineRule="exact"/>
        <w:ind w:left="0" w:right="0" w:firstLine="576"/>
        <w:jc w:val="left"/>
      </w:pPr>
      <w:r>
        <w:rPr/>
        <w:t xml:space="preserve">(t)(i) A qualified transfer of residential property by a legal representative of a person with developmental disabilities to a qualified entity subject to the following conditions:</w:t>
      </w:r>
    </w:p>
    <w:p>
      <w:pPr>
        <w:spacing w:before="0" w:after="0" w:line="408" w:lineRule="exact"/>
        <w:ind w:left="0" w:right="0" w:firstLine="576"/>
        <w:jc w:val="left"/>
      </w:pPr>
      <w:r>
        <w:rPr/>
        <w:t xml:space="preserve">(A) The adult child with developmental disabilities of the transferor of the residential property must be allowed to reside in the residence or successor property so long as the placement is safe and appropriate as determined by the department of social and health services;</w:t>
      </w:r>
    </w:p>
    <w:p>
      <w:pPr>
        <w:spacing w:before="0" w:after="0" w:line="408" w:lineRule="exact"/>
        <w:ind w:left="0" w:right="0" w:firstLine="576"/>
        <w:jc w:val="left"/>
      </w:pPr>
      <w:r>
        <w:rPr/>
        <w:t xml:space="preserve">(B) The title to the residential property is conveyed without the receipt of consideration by the legal representative of a person with developmental disabilities to a qualified entity;</w:t>
      </w:r>
    </w:p>
    <w:p>
      <w:pPr>
        <w:spacing w:before="0" w:after="0" w:line="408" w:lineRule="exact"/>
        <w:ind w:left="0" w:right="0" w:firstLine="576"/>
        <w:jc w:val="left"/>
      </w:pPr>
      <w:r>
        <w:rPr/>
        <w:t xml:space="preserve">(C) The residential property must have no more than four living units located on it; and</w:t>
      </w:r>
    </w:p>
    <w:p>
      <w:pPr>
        <w:spacing w:before="0" w:after="0" w:line="408" w:lineRule="exact"/>
        <w:ind w:left="0" w:right="0" w:firstLine="576"/>
        <w:jc w:val="left"/>
      </w:pPr>
      <w:r>
        <w:rPr/>
        <w:t xml:space="preserve">(D) The residential property transferred must remain in continued use for fifty years by the qualified entity as supported living for persons with developmental disabilities by the qualified entity or successor entity. If the qualified entity sells or otherwise conveys ownership of the residential property the proceeds of the sale or conveyance must be used to acquire similar residential property and such similar residential property must be considered the successor for continued use. The property will not be considered in continued use if the department of social and health services finds that the property has failed, after a reasonable time to remedy, to meet any health and safety statutory or regulatory requirements. If the department of social and health services determines that the property fails to meet the requirements for continued use, the department of social and health services must notify the department and the real estate excise tax based on the value of the property at the time of the transfer into use as residential property for persons with developmental disabilities becomes immediately due and payable by the qualified entity. The tax due is not subject to penalties, fees, or interest under this title.</w:t>
      </w:r>
    </w:p>
    <w:p>
      <w:pPr>
        <w:spacing w:before="0" w:after="0" w:line="408" w:lineRule="exact"/>
        <w:ind w:left="0" w:right="0" w:firstLine="576"/>
        <w:jc w:val="left"/>
      </w:pPr>
      <w:r>
        <w:rPr/>
        <w:t xml:space="preserve">(ii) For the purposes of this subsection (3)(t) the definitions in RCW 71A.10.020 apply.</w:t>
      </w:r>
    </w:p>
    <w:p>
      <w:pPr>
        <w:spacing w:before="0" w:after="0" w:line="408" w:lineRule="exact"/>
        <w:ind w:left="0" w:right="0" w:firstLine="576"/>
        <w:jc w:val="left"/>
      </w:pPr>
      <w:r>
        <w:rPr/>
        <w:t xml:space="preserve">(iii) A "qualified entity" is:</w:t>
      </w:r>
    </w:p>
    <w:p>
      <w:pPr>
        <w:spacing w:before="0" w:after="0" w:line="408" w:lineRule="exact"/>
        <w:ind w:left="0" w:right="0" w:firstLine="576"/>
        <w:jc w:val="left"/>
      </w:pPr>
      <w:r>
        <w:rPr/>
        <w:t xml:space="preserve">(A) A nonprofit organization under Title 26 U.S.C. Sec. 501(c)(3) of the federal internal revenue code of 1986, as amended, as of June 7, 2018, or a subsidiary under the same taxpayer identification number that provides residential supported living for persons with developmental disabilities; or</w:t>
      </w:r>
    </w:p>
    <w:p>
      <w:pPr>
        <w:spacing w:before="0" w:after="0" w:line="408" w:lineRule="exact"/>
        <w:ind w:left="0" w:right="0" w:firstLine="576"/>
        <w:jc w:val="left"/>
      </w:pPr>
      <w:r>
        <w:rPr/>
        <w:t xml:space="preserve">(B) A nonprofit adult family home, as defined in RCW 70.128.010, that exclusively serves persons with developmental disabilities.</w:t>
      </w:r>
    </w:p>
    <w:p>
      <w:pPr>
        <w:spacing w:before="0" w:after="0" w:line="408" w:lineRule="exact"/>
        <w:ind w:left="0" w:right="0" w:firstLine="576"/>
        <w:jc w:val="left"/>
      </w:pPr>
      <w:r>
        <w:rPr/>
        <w:t xml:space="preserve">(iv) In order to receive an exemption under this subsection (3)(t) an affidavit must be submitted by the transferor of the residential property and must include a copy of the transfer agreement and any other documentation as required by the department.</w:t>
      </w:r>
    </w:p>
    <w:p>
      <w:pPr>
        <w:spacing w:before="0" w:after="0" w:line="408" w:lineRule="exact"/>
        <w:ind w:left="0" w:right="0" w:firstLine="576"/>
        <w:jc w:val="left"/>
      </w:pPr>
      <w:r>
        <w:rPr>
          <w:u w:val="single"/>
        </w:rPr>
        <w:t xml:space="preserve">(u) The sale by an affordable homeownership facilitator of self-help housing to a low-income household. The definitions in section 2 of this act apply to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expires January 1, 2030.</w:t>
      </w:r>
    </w:p>
    <w:p/>
    <w:p>
      <w:pPr>
        <w:jc w:val="center"/>
      </w:pPr>
      <w:r>
        <w:rPr>
          <w:b/>
        </w:rPr>
        <w:t>--- END ---</w:t>
      </w:r>
    </w:p>
    <w:sectPr>
      <w:pgNumType w:start="1"/>
      <w:footerReference xmlns:r="http://schemas.openxmlformats.org/officeDocument/2006/relationships" r:id="Rf75c71edbd5e4cf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ac5d191cad4b3a" /><Relationship Type="http://schemas.openxmlformats.org/officeDocument/2006/relationships/footer" Target="/word/footer1.xml" Id="Rf75c71edbd5e4cfb" /></Relationships>
</file>