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bda57cb36d462a" /></Relationships>
</file>

<file path=word/document.xml><?xml version="1.0" encoding="utf-8"?>
<w:document xmlns:w="http://schemas.openxmlformats.org/wordprocessingml/2006/main">
  <w:body>
    <w:p>
      <w:r>
        <w:t>H-1559.1</w:t>
      </w:r>
    </w:p>
    <w:p>
      <w:pPr>
        <w:jc w:val="center"/>
      </w:pPr>
      <w:r>
        <w:t>_______________________________________________</w:t>
      </w:r>
    </w:p>
    <w:p/>
    <w:p>
      <w:pPr>
        <w:jc w:val="center"/>
      </w:pPr>
      <w:r>
        <w:rPr>
          <w:b/>
        </w:rPr>
        <w:t>SUBSTITUTE HOUSE BILL 1174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Walsh, Blake, and Wylie)</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contracting procedures for cities; and amending RCW 35.23.352.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2018 c 74 s 2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sixty-five thousand dollars if more than one craft or trade is involved with the public works, or forty thousand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w:t>
      </w:r>
      <w:r>
        <w:rPr>
          <w:u w:val="single"/>
        </w:rPr>
        <w:t xml:space="preserve">For the purposes of this section, "lowest responsible bidder" means a bid that meets the criteria under RCW 39.04.350; and has the lowest bid, or has a bid that is within five percent of the lowest bid and meets the following supplemental criteria:</w:t>
      </w:r>
    </w:p>
    <w:p>
      <w:pPr>
        <w:spacing w:before="0" w:after="0" w:line="408" w:lineRule="exact"/>
        <w:ind w:left="0" w:right="0" w:firstLine="576"/>
        <w:jc w:val="left"/>
      </w:pPr>
      <w:r>
        <w:rPr>
          <w:u w:val="single"/>
        </w:rPr>
        <w:t xml:space="preserve">(a) The bidder has delivered at least one project of similar size and scope within the last five years for the city on time, within budget, and according to required specifications; and</w:t>
      </w:r>
    </w:p>
    <w:p>
      <w:pPr>
        <w:spacing w:before="0" w:after="0" w:line="408" w:lineRule="exact"/>
        <w:ind w:left="0" w:right="0" w:firstLine="576"/>
        <w:jc w:val="left"/>
      </w:pPr>
      <w:r>
        <w:rPr>
          <w:u w:val="single"/>
        </w:rPr>
        <w:t xml:space="preserve">(b) The bidder has not delivered a project to the city within the last five years that was late, over budget, or did not meet specifications.</w:t>
      </w:r>
    </w:p>
    <w:p>
      <w:pPr>
        <w:spacing w:before="0" w:after="0" w:line="408" w:lineRule="exact"/>
        <w:ind w:left="0" w:right="0" w:firstLine="576"/>
        <w:jc w:val="left"/>
      </w:pPr>
      <w:r>
        <w:rPr>
          <w:u w:val="single"/>
        </w:rPr>
        <w:t xml:space="preserve">(3)</w:t>
      </w:r>
      <w:r>
        <w:rPr/>
        <w:t xml:space="preserve"> The allocation of public works projects to be performed by city or town employees shall not be subject to a collective bargaining agreement.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minority or woman contractor who shall otherwise qualify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form required by RCW 43.09.205 shall be to account and record costs of public works in excess of five thousand dollars that are not let by contract.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cost of a separate public works project shall be the costs of the materials, equipment, supplies, and labor on that construction project.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This section does not apply to performance-based contracts, as defined in RCW 39.35A.020(4), that are negotiated under chapter 39.35A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Nothing in this section shall prohibit any second class city or any town from allowing for preferential purchase of products made from recycled materials or products that may be recycled or reused.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u w:val="single"/>
        </w:rPr>
        <w:t xml:space="preserve">(14) Any second-class city or town that awards a project to a bidder under the criteria described in subsection (2) of this section must make an annual report to the department of commerce that includes the total number of bids awarded to minority or women contractors.</w:t>
      </w:r>
    </w:p>
    <w:p/>
    <w:p>
      <w:pPr>
        <w:jc w:val="center"/>
      </w:pPr>
      <w:r>
        <w:rPr>
          <w:b/>
        </w:rPr>
        <w:t>--- END ---</w:t>
      </w:r>
    </w:p>
    <w:sectPr>
      <w:pgNumType w:start="1"/>
      <w:footerReference xmlns:r="http://schemas.openxmlformats.org/officeDocument/2006/relationships" r:id="Rf370c3d73a5a45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a3861ce7bf47eb" /><Relationship Type="http://schemas.openxmlformats.org/officeDocument/2006/relationships/footer" Target="/word/footer1.xml" Id="Rf370c3d73a5a4516" /></Relationships>
</file>