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12175326f426c" /></Relationships>
</file>

<file path=word/document.xml><?xml version="1.0" encoding="utf-8"?>
<w:document xmlns:w="http://schemas.openxmlformats.org/wordprocessingml/2006/main">
  <w:body>
    <w:p>
      <w:r>
        <w:t>H-0563.1</w:t>
      </w:r>
    </w:p>
    <w:p>
      <w:pPr>
        <w:jc w:val="center"/>
      </w:pPr>
      <w:r>
        <w:t>_______________________________________________</w:t>
      </w:r>
    </w:p>
    <w:p/>
    <w:p>
      <w:pPr>
        <w:jc w:val="center"/>
      </w:pPr>
      <w:r>
        <w:rPr>
          <w:b/>
        </w:rPr>
        <w:t>HOUSE BILL 1236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MacEwen, Vick, Blake, and Appleton</w:t>
      </w:r>
    </w:p>
    <w:p/>
    <w:p>
      <w:r>
        <w:rPr>
          <w:t xml:space="preserve">Read first time 01/17/19.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ability of business and nonprofit entities to obtain a marijuana license;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w:t>
      </w:r>
      <w:r>
        <w:t>((</w:t>
      </w:r>
      <w:r>
        <w:rPr>
          <w:strike/>
        </w:rPr>
        <w:t xml:space="preserve">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A person is not required to be a resident of this state and a business or nonprofit entity with a certificate of registration is not required to be formed under the laws of this state to qualify for a marijuana license, subject to the following requirements:</w:t>
      </w:r>
    </w:p>
    <w:p>
      <w:pPr>
        <w:spacing w:before="0" w:after="0" w:line="408" w:lineRule="exact"/>
        <w:ind w:left="0" w:right="0" w:firstLine="576"/>
        <w:jc w:val="left"/>
      </w:pPr>
      <w:r>
        <w:rPr>
          <w:u w:val="single"/>
        </w:rPr>
        <w:t xml:space="preserve">(i) Any natural person holding an ownership interest of more than ten percent of the entity must qualify for and be named on the license;</w:t>
      </w:r>
    </w:p>
    <w:p>
      <w:pPr>
        <w:spacing w:before="0" w:after="0" w:line="408" w:lineRule="exact"/>
        <w:ind w:left="0" w:right="0" w:firstLine="576"/>
        <w:jc w:val="left"/>
      </w:pPr>
      <w:r>
        <w:rPr>
          <w:u w:val="single"/>
        </w:rPr>
        <w:t xml:space="preserve">(ii) Except as provided in (c)(iii) of this subsection, any natural person holding an ownership interest of ten percent or less of the entity is not required to qualify for or be named on the license;</w:t>
      </w:r>
    </w:p>
    <w:p>
      <w:pPr>
        <w:spacing w:before="0" w:after="0" w:line="408" w:lineRule="exact"/>
        <w:ind w:left="0" w:right="0" w:firstLine="576"/>
        <w:jc w:val="left"/>
      </w:pPr>
      <w:r>
        <w:rPr>
          <w:u w:val="single"/>
        </w:rPr>
        <w:t xml:space="preserve">(iii) If no natural person owns more than ten percent of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(iv) Officers and directors of the entity must possess the same qualifications required of the licensee.</w:t>
      </w:r>
    </w:p>
    <w:p>
      <w:pPr>
        <w:spacing w:before="0" w:after="0" w:line="408" w:lineRule="exact"/>
        <w:ind w:left="0" w:right="0" w:firstLine="576"/>
        <w:jc w:val="left"/>
      </w:pPr>
      <w:r>
        <w:rPr>
          <w:u w:val="single"/>
        </w:rPr>
        <w:t xml:space="preserve">(d) The state liquor and cannabis board may impose additional licensing fees to recover any additional costs incurred in investigating any nonresident required to be investigated under this section. If, after reasonable efforts, the state liquor and cannabis board is unable to investigate any nonresident required to be investigated under this section, in accordance with the investigatory standards applicable to the investigation of a state resident, the state liquor and cannabis board has discretionary authority to deny a license or license renewal to an entity.</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
      <w:pPr>
        <w:jc w:val="center"/>
      </w:pPr>
      <w:r>
        <w:rPr>
          <w:b/>
        </w:rPr>
        <w:t>--- END ---</w:t>
      </w:r>
    </w:p>
    <w:sectPr>
      <w:pgNumType w:start="1"/>
      <w:footerReference xmlns:r="http://schemas.openxmlformats.org/officeDocument/2006/relationships" r:id="R1ccb6505fb1944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3fcb624b54d2d" /><Relationship Type="http://schemas.openxmlformats.org/officeDocument/2006/relationships/footer" Target="/word/footer1.xml" Id="R1ccb6505fb194478" /></Relationships>
</file>