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9abbe8e7843a1" /></Relationships>
</file>

<file path=word/document.xml><?xml version="1.0" encoding="utf-8"?>
<w:document xmlns:w="http://schemas.openxmlformats.org/wordprocessingml/2006/main">
  <w:body>
    <w:p>
      <w:r>
        <w:t>H-2025.1</w:t>
      </w:r>
    </w:p>
    <w:p>
      <w:pPr>
        <w:jc w:val="center"/>
      </w:pPr>
      <w:r>
        <w:t>_______________________________________________</w:t>
      </w:r>
    </w:p>
    <w:p/>
    <w:p>
      <w:pPr>
        <w:jc w:val="center"/>
      </w:pPr>
      <w:r>
        <w:rPr>
          <w:b/>
        </w:rPr>
        <w:t>SUBSTITUTE HOUSE BILL 1269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Shea, Goodman, and McCaslin)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10.105.010, 19.290.230, 46.61.5058, 70.74.400, 77.15.070, 69.50.505, and 38.42.020; adding a new chapter to Title 7 RCW; creating a new section;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sixty day period following service of the notice of seizure in the case of personal property and within the one hundred twenty day period following service of the notice of seizure in the case of real property.</w:t>
      </w:r>
    </w:p>
    <w:p>
      <w:pPr>
        <w:spacing w:before="0" w:after="0" w:line="408" w:lineRule="exact"/>
        <w:ind w:left="0" w:right="0" w:firstLine="576"/>
        <w:jc w:val="left"/>
      </w:pPr>
      <w:r>
        <w:rPr/>
        <w:t xml:space="preserve">(4) The hearing must be before a hearing officer who is not in the direct chain of command of the chief law enforcement officer of the seizing agency, except that where the seizing agency is a state agency as defined in RCW 34.12.020(4), the hearing must be before a hearing officer who is not in the direct chain of command of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agency. The seizing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 after satisfying any court-ordered restitution:</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law enforcement agency that has authority under state law or collaborates with a federal agency under federal law to seize property.</w:t>
      </w:r>
    </w:p>
    <w:p>
      <w:pPr>
        <w:spacing w:before="0" w:after="0" w:line="408" w:lineRule="exact"/>
        <w:ind w:left="0" w:right="0" w:firstLine="576"/>
        <w:jc w:val="left"/>
      </w:pPr>
      <w:r>
        <w:rPr/>
        <w:t xml:space="preserve">(3)(a)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Crime for which the suspect was charged;</w:t>
      </w:r>
    </w:p>
    <w:p>
      <w:pPr>
        <w:spacing w:before="0" w:after="0" w:line="408" w:lineRule="exact"/>
        <w:ind w:left="0" w:right="0" w:firstLine="576"/>
        <w:jc w:val="left"/>
      </w:pPr>
      <w:r>
        <w:rPr/>
        <w:t xml:space="preserve">(viii) Whether the suspect was convicted of a crime;</w:t>
      </w:r>
    </w:p>
    <w:p>
      <w:pPr>
        <w:spacing w:before="0" w:after="0" w:line="408" w:lineRule="exact"/>
        <w:ind w:left="0" w:right="0" w:firstLine="576"/>
        <w:jc w:val="left"/>
      </w:pPr>
      <w:r>
        <w:rPr/>
        <w:t xml:space="preserve">(ix) Whether the forfeiture was contested by a suspect, innocent owner claimant, joint owner, or other property owner;</w:t>
      </w:r>
    </w:p>
    <w:p>
      <w:pPr>
        <w:spacing w:before="0" w:after="0" w:line="408" w:lineRule="exact"/>
        <w:ind w:left="0" w:right="0" w:firstLine="576"/>
        <w:jc w:val="left"/>
      </w:pPr>
      <w:r>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(xi) Date of disposition of the property;</w:t>
      </w:r>
    </w:p>
    <w:p>
      <w:pPr>
        <w:spacing w:before="0" w:after="0" w:line="408" w:lineRule="exact"/>
        <w:ind w:left="0" w:right="0" w:firstLine="576"/>
        <w:jc w:val="left"/>
      </w:pPr>
      <w:r>
        <w:rPr/>
        <w:t xml:space="preserve">(xii) Whether the forfeiture was resolved by way of a default, contested hearing or agreed disposition or settlement;</w:t>
      </w:r>
    </w:p>
    <w:p>
      <w:pPr>
        <w:spacing w:before="0" w:after="0" w:line="408" w:lineRule="exact"/>
        <w:ind w:left="0" w:right="0" w:firstLine="576"/>
        <w:jc w:val="left"/>
      </w:pPr>
      <w:r>
        <w:rPr/>
        <w:t xml:space="preserve">(xiii) Value of the property forfeited; and</w:t>
      </w:r>
    </w:p>
    <w:p>
      <w:pPr>
        <w:spacing w:before="0" w:after="0" w:line="408" w:lineRule="exact"/>
        <w:ind w:left="0" w:right="0" w:firstLine="576"/>
        <w:jc w:val="left"/>
      </w:pPr>
      <w:r>
        <w:rPr/>
        <w:t xml:space="preserve">(xiv)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(3).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entertainment, conferences, training, and continuing education seminars;</w:t>
      </w:r>
    </w:p>
    <w:p>
      <w:pPr>
        <w:spacing w:before="0" w:after="0" w:line="408" w:lineRule="exact"/>
        <w:ind w:left="0" w:right="0" w:firstLine="576"/>
        <w:jc w:val="left"/>
      </w:pPr>
      <w:r>
        <w:rPr/>
        <w:t xml:space="preserve">(vi) Capital expenditures including vehicles, firearms, equipment, computers, and furniture;</w:t>
      </w:r>
    </w:p>
    <w:p>
      <w:pPr>
        <w:spacing w:before="0" w:after="0" w:line="408" w:lineRule="exact"/>
        <w:ind w:left="0" w:right="0" w:firstLine="576"/>
        <w:jc w:val="left"/>
      </w:pPr>
      <w:r>
        <w:rPr/>
        <w:t xml:space="preserve">(vii) Other expenditures of forfeiture proceeds; and</w:t>
      </w:r>
    </w:p>
    <w:p>
      <w:pPr>
        <w:spacing w:before="0" w:after="0" w:line="408" w:lineRule="exact"/>
        <w:ind w:left="0" w:right="0" w:firstLine="576"/>
        <w:jc w:val="left"/>
      </w:pPr>
      <w:r>
        <w:rPr/>
        <w:t xml:space="preserve">(viii) The total value of forfeited property held by the agency at the end of the reporting period.</w:t>
      </w:r>
    </w:p>
    <w:p>
      <w:pPr>
        <w:spacing w:before="0" w:after="0" w:line="408" w:lineRule="exact"/>
        <w:ind w:left="0" w:right="0" w:firstLine="576"/>
        <w:jc w:val="left"/>
      </w:pPr>
      <w:r>
        <w:rPr/>
        <w:t xml:space="preserve">(4)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(5) The state treasurer may include in the aggregate report required by subsection (4)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(6) If a seizing agency fails to file a report within thirty days after it is due, without good cause as determined by the state treasurer, the state treasurer shall provide a written warning to the seizing agency. If a seizing agency fails to file the report within thirty days after it is due for a second time, the agency is subject to a civil penalty payable to the state general fund of five hundred dollars or the equivalent of one-quarter of the forfeiture proceeds received by the agency during the reporting period, whichever is greater. In addition, the state treasurer must make no expenditures from the forfeiture fund for the benefit of the agency until the report is filed.</w:t>
      </w:r>
    </w:p>
    <w:p>
      <w:pPr>
        <w:spacing w:before="0" w:after="0" w:line="408" w:lineRule="exact"/>
        <w:ind w:left="0" w:right="0" w:firstLine="576"/>
        <w:jc w:val="left"/>
      </w:pPr>
      <w:r>
        <w:rPr/>
        <w:t xml:space="preserve">(7) The state treasurer may recover its costs under this chapter by charging a fee to seizing agencies filing a report. The agency may use forfeiture proceeds to pay the costs of compiling and reporting data under this chapter, and to pay any fees imposed by the state treasurer.</w:t>
      </w:r>
    </w:p>
    <w:p>
      <w:pPr>
        <w:spacing w:before="0" w:after="0" w:line="408" w:lineRule="exact"/>
        <w:ind w:left="0" w:right="0" w:firstLine="576"/>
        <w:jc w:val="left"/>
      </w:pPr>
      <w:r>
        <w:rPr/>
        <w:t xml:space="preserve">(8)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31st of each year, each seizing agency shall remit to the state treasurer an amount equal to ten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2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treasurer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17 of this act).</w:t>
      </w:r>
    </w:p>
    <w:p>
      <w:pPr>
        <w:spacing w:before="0" w:after="0" w:line="408" w:lineRule="exact"/>
        <w:ind w:left="0" w:right="0" w:firstLine="576"/>
        <w:jc w:val="left"/>
      </w:pPr>
      <w:r>
        <w:rPr>
          <w:u w:val="single"/>
        </w:rPr>
        <w:t xml:space="preserve">(4) When property is seized under this chapter and forfeited pursuant to chapter 7.--- RCW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17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0" w:after="0" w:line="408" w:lineRule="exact"/>
        <w:ind w:left="0" w:right="0" w:firstLine="576"/>
        <w:jc w:val="left"/>
      </w:pPr>
      <w:r>
        <w:rPr>
          <w:u w:val="single"/>
        </w:rPr>
        <w:t xml:space="preserve">(5)(a) When property is seized under this chapter and forfeited pursuant to chapter 7.--- RCW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0" w:after="0" w:line="408" w:lineRule="exact"/>
        <w:ind w:left="0" w:right="0" w:firstLine="576"/>
        <w:jc w:val="left"/>
      </w:pPr>
      <w:r>
        <w:rPr>
          <w:u w:val="single"/>
        </w:rPr>
        <w:t xml:space="preserve">(b)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17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17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sixty</w:t>
      </w:r>
      <w:r>
        <w:rPr/>
        <w:t xml:space="preserve"> day period following service of the notice of seizure in the case of personal property and within the </w:t>
      </w:r>
      <w:r>
        <w:t>((</w:t>
      </w:r>
      <w:r>
        <w:rPr>
          <w:strike/>
        </w:rPr>
        <w:t xml:space="preserve">ninety-day</w:t>
      </w:r>
      <w:r>
        <w:t>))</w:t>
      </w:r>
      <w:r>
        <w:rPr/>
        <w:t xml:space="preserve"> </w:t>
      </w:r>
      <w:r>
        <w:rPr>
          <w:u w:val="single"/>
        </w:rPr>
        <w:t xml:space="preserve">one hundred twenty day</w:t>
      </w:r>
      <w:r>
        <w:rPr/>
        <w:t xml:space="preserve">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4 of this act.</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28, 2019.</w:t>
      </w:r>
    </w:p>
    <w:p/>
    <w:p>
      <w:pPr>
        <w:jc w:val="center"/>
      </w:pPr>
      <w:r>
        <w:rPr>
          <w:b/>
        </w:rPr>
        <w:t>--- END ---</w:t>
      </w:r>
    </w:p>
    <w:sectPr>
      <w:pgNumType w:start="1"/>
      <w:footerReference xmlns:r="http://schemas.openxmlformats.org/officeDocument/2006/relationships" r:id="Rf60d32c2a5024e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7f58bd1cea41ce" /><Relationship Type="http://schemas.openxmlformats.org/officeDocument/2006/relationships/footer" Target="/word/footer1.xml" Id="Rf60d32c2a5024ed0" /></Relationships>
</file>