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826f48f1543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Harris, Jinkins, Klippert, Valdez, Walen, Tharinger, and Leavitt)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may be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(2)</w:t>
      </w:r>
      <w:r>
        <w:rPr/>
        <w:t xml:space="preserve"> "Office" means the office of public guardianship.</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"Public guardian" means an individual or entity providing public guardianship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or a public guardian.</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w:t>
      </w:r>
    </w:p>
    <w:p>
      <w:pPr>
        <w:spacing w:before="0" w:after="0" w:line="408" w:lineRule="exact"/>
        <w:ind w:left="0" w:right="0" w:firstLine="576"/>
        <w:jc w:val="left"/>
      </w:pPr>
      <w:r>
        <w:rPr>
          <w:u w:val="single"/>
        </w:rPr>
        <w:t xml:space="preserve">(i) P</w:t>
      </w:r>
      <w:r>
        <w:rPr/>
        <w:t xml:space="preserve">ublic guardianship</w:t>
      </w:r>
      <w:r>
        <w:rPr>
          <w:u w:val="single"/>
        </w:rPr>
        <w:t xml:space="preserve">, supported decision-making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w:t>
      </w:r>
    </w:p>
    <w:p>
      <w:pPr>
        <w:spacing w:before="0" w:after="0" w:line="408" w:lineRule="exact"/>
        <w:ind w:left="0" w:right="0" w:firstLine="576"/>
        <w:jc w:val="left"/>
      </w:pPr>
      <w:r>
        <w:rPr>
          <w:u w:val="single"/>
        </w:rPr>
        <w:t xml:space="preserve">(ii) Supported decision-making services for a fee to persons age eighteen or older when there is no one else qualified who is willing and able to serve; and</w:t>
      </w:r>
    </w:p>
    <w:p>
      <w:pPr>
        <w:spacing w:before="0" w:after="0" w:line="408" w:lineRule="exact"/>
        <w:ind w:left="0" w:right="0" w:firstLine="576"/>
        <w:jc w:val="left"/>
      </w:pPr>
      <w:r>
        <w:rPr>
          <w:u w:val="single"/>
        </w:rPr>
        <w:t xml:space="preserve">(iii) Estate administration services for a fee to the estate of an individual who died at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w:t>
      </w:r>
      <w:r>
        <w:t>((</w:t>
      </w:r>
      <w:r>
        <w:rPr>
          <w:strike/>
        </w:rPr>
        <w:t xml:space="preserve">, within one year of the commencement of its operation,</w:t>
      </w:r>
      <w:r>
        <w:t>))</w:t>
      </w:r>
      <w:r>
        <w:rPr/>
        <w:t xml:space="preserve"> adopt </w:t>
      </w:r>
      <w:r>
        <w:rPr>
          <w:u w:val="single"/>
        </w:rPr>
        <w:t xml:space="preserve">and maintain</w:t>
      </w:r>
      <w:r>
        <w:rPr/>
        <w:t xml:space="preserve">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w:t>
      </w:r>
      <w:r>
        <w:t>((</w:t>
      </w:r>
      <w:r>
        <w:rPr>
          <w:strike/>
        </w:rPr>
        <w:t xml:space="preserve">The office shall not authorize payment for services for any entity that is serving more than twenty incapacitated persons per certified professional guardian.</w:t>
      </w:r>
      <w:r>
        <w:t>))</w:t>
      </w:r>
      <w:r>
        <w:rPr/>
        <w:t xml:space="preserve"> </w:t>
      </w:r>
      <w:r>
        <w:rPr>
          <w:u w:val="single"/>
        </w:rPr>
        <w:t xml:space="preserve">The office shall develop and adopt a case-weighting system designed to balance the increasing need for access to guardianship services, while effectively managing public guardian caseloads and providing appropriate supports for individuals on that caseload.</w:t>
      </w:r>
    </w:p>
    <w:p>
      <w:pPr>
        <w:spacing w:before="0" w:after="0" w:line="408" w:lineRule="exact"/>
        <w:ind w:left="0" w:right="0" w:firstLine="576"/>
        <w:jc w:val="left"/>
      </w:pPr>
      <w:r>
        <w:rPr>
          <w:u w:val="single"/>
        </w:rPr>
        <w:t xml:space="preserve">(a) The standard caseload limit for a contract service provider must be no more than twenty incapacitated persons per certified professional guardian. The office may authorize adjustments to the standard caseload limit on a case-by-case basis, and payment for services to a contract service provider that serves more than twenty incapacitated persons per professional guardian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u w:val="single"/>
        </w:rPr>
        <w:t xml:space="preserve">(b) Caseload limits must not exceed thirty-six cases. The office shall not authorize payment for services for any contract service provider that fails to comply with the standard caseload limit guidelines.</w:t>
      </w:r>
    </w:p>
    <w:p>
      <w:pPr>
        <w:spacing w:before="0" w:after="0" w:line="408" w:lineRule="exact"/>
        <w:ind w:left="0" w:right="0" w:firstLine="576"/>
        <w:jc w:val="left"/>
      </w:pPr>
      <w:r>
        <w:rPr>
          <w:u w:val="single"/>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u w:val="single"/>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u w:val="single"/>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rPr>
          <w:u w:val="single"/>
        </w:rPr>
        <w:t xml:space="preserve">(10) Fees may be collected from the estate when the decedant's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and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c7456e6dabe74c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30b4dccdf438f" /><Relationship Type="http://schemas.openxmlformats.org/officeDocument/2006/relationships/footer" Target="/word/footer1.xml" Id="Rc7456e6dabe74c9b" /></Relationships>
</file>