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933575dcad462e" /></Relationships>
</file>

<file path=word/document.xml><?xml version="1.0" encoding="utf-8"?>
<w:document xmlns:w="http://schemas.openxmlformats.org/wordprocessingml/2006/main">
  <w:body>
    <w:p>
      <w:r>
        <w:t>H-1374.1</w:t>
      </w:r>
    </w:p>
    <w:p>
      <w:pPr>
        <w:jc w:val="center"/>
      </w:pPr>
      <w:r>
        <w:t>_______________________________________________</w:t>
      </w:r>
    </w:p>
    <w:p/>
    <w:p>
      <w:pPr>
        <w:jc w:val="center"/>
      </w:pPr>
      <w:r>
        <w:rPr>
          <w:b/>
        </w:rPr>
        <w:t>SUBSTITUTE HOUSE BILL 1379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Pellicciotti, Hudgins, Appleton, Gregerson, Pollet, Macri, Valdez, Kloba, Bergquist, Tarleton, Doglio, Frame, Goodman, Reeves, and Fey)</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contributions from political committees to other political committees; amending RCW 42.17A.320;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of including "top five contributors" information under RCW 42.17A.320 or any other provision of this chapter, the persons or entities making the largest contributions shall be determined solely as follows:</w:t>
      </w:r>
    </w:p>
    <w:p>
      <w:pPr>
        <w:spacing w:before="0" w:after="0" w:line="408" w:lineRule="exact"/>
        <w:ind w:left="0" w:right="0" w:firstLine="576"/>
        <w:jc w:val="left"/>
      </w:pPr>
      <w:r>
        <w:rPr/>
        <w:t xml:space="preserve">(a) The sponsor must first identify the five persons or entities making the largest contributions in excess of one thousand dollars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(b) For any political committee that qualifies as one of the top five contributors identified under (a) of this subsection, the top five contributors to that political committee during the same period must then be identified, and so on, until the individuals or entities other than political committees that have contributed the most to all political committees involved with the advertisement have been identified; and</w:t>
      </w:r>
    </w:p>
    <w:p>
      <w:pPr>
        <w:spacing w:before="0" w:after="0" w:line="408" w:lineRule="exact"/>
        <w:ind w:left="0" w:right="0" w:firstLine="576"/>
        <w:jc w:val="left"/>
      </w:pPr>
      <w:r>
        <w:rPr/>
        <w:t xml:space="preserve">(c) The sponsor's advertisement must then list the top five individuals or entities other than political committees contributing in excess of one thousand dollars and making the largest aggregate contributions among all those identified under (a) and (b) of this subsection.</w:t>
      </w:r>
    </w:p>
    <w:p>
      <w:pPr>
        <w:spacing w:before="0" w:after="0" w:line="408" w:lineRule="exact"/>
        <w:ind w:left="0" w:right="0" w:firstLine="576"/>
        <w:jc w:val="left"/>
      </w:pPr>
      <w:r>
        <w:rPr/>
        <w:t xml:space="preserve">(2) Contributions to the sponsor that are earmarked, tracked, and used for purposes other than the advertisement in question should not be counted in identifying the top five contributors under subsection (1) of this section.</w:t>
      </w:r>
    </w:p>
    <w:p>
      <w:pPr>
        <w:spacing w:before="0" w:after="0" w:line="408" w:lineRule="exact"/>
        <w:ind w:left="0" w:right="0" w:firstLine="576"/>
        <w:jc w:val="left"/>
      </w:pPr>
      <w:r>
        <w:rPr/>
        <w:t xml:space="preserve">(3) The sponsor shall not be liable for a violation of this section where the persons or entities making the largest contributions to the advertisement fail to report to the commission contributions to the sponsor.</w:t>
      </w:r>
    </w:p>
    <w:p>
      <w:pPr>
        <w:spacing w:before="0" w:after="0" w:line="408" w:lineRule="exact"/>
        <w:ind w:left="0" w:right="0" w:firstLine="576"/>
        <w:jc w:val="left"/>
      </w:pPr>
      <w:r>
        <w:rPr/>
        <w:t xml:space="preserve">(4) The commission is authorized to adopt rules, as needed, to prevent circumvention and effectuate the purposes of top five contributors information requirements, which are intended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w:t>
      </w:r>
      <w:r>
        <w:t>((</w:t>
      </w:r>
      <w:r>
        <w:rPr>
          <w:strike/>
        </w:rPr>
        <w:t xml:space="preserve">in excess of seven hundred dollars reportable under this chapter during the twelve-month period before the date of the advertisement or communication</w:t>
      </w:r>
      <w:r>
        <w:t>))</w:t>
      </w:r>
      <w:r>
        <w:rPr/>
        <w:t xml:space="preserve"> </w:t>
      </w:r>
      <w:r>
        <w:rPr>
          <w:u w:val="single"/>
        </w:rPr>
        <w:t xml:space="preserve">as determined by section 2 of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w:t>
      </w:r>
      <w:r>
        <w:rPr>
          <w:u w:val="single"/>
        </w:rPr>
        <w:t xml:space="preserve">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or entities making the largest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consistent with subsections (2), (4), and (5) of this section. A series of political advertising sponsored by the same political committee, each of which is under one thousand dollars, must include the "Top Five Contributors" information required by this section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"Top Five Contributor" information,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f7826f6dd39641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1572229e24964" /><Relationship Type="http://schemas.openxmlformats.org/officeDocument/2006/relationships/footer" Target="/word/footer1.xml" Id="Rf7826f6dd3964134" /></Relationships>
</file>