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f0b47bd2048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Jinkins, and Santos</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pistol sales or transfers; amending RCW 9.41.090; adding a new section to chapter 43.43 RCW;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in writing by (i) the chief of police or the sheriff of the jurisdiction in which the purchaser resides that the purchaser is eligible to possess a pistol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or time periods in RCW 9.41.092 have been satisfied.</w:t>
      </w:r>
    </w:p>
    <w:p>
      <w:pPr>
        <w:spacing w:before="0" w:after="0" w:line="408" w:lineRule="exact"/>
        <w:ind w:left="0" w:right="0" w:firstLine="576"/>
        <w:jc w:val="left"/>
      </w:pPr>
      <w:r>
        <w:rPr/>
        <w:t xml:space="preserve">(2) In addition to the other requirements of this chapter, no dealer may deliver a semiautomatic assault rifle to the purchaser thereof until:</w:t>
      </w:r>
    </w:p>
    <w:p>
      <w:pPr>
        <w:spacing w:before="0" w:after="0" w:line="408" w:lineRule="exact"/>
        <w:ind w:left="0" w:right="0" w:firstLine="576"/>
        <w:jc w:val="left"/>
      </w:pPr>
      <w:r>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gun storage and talking to children about gun safety;</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gun storage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(3)(a) Except as provided in (b) of this subsection, in determining whether the purchaser meets the requirements of RCW 9.41.040, the chief of police or sheriff, or the designee of either,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t xml:space="preserve">(6)(a) At the time of applying for the purchase of a pistol or semiautomatic assault rifle,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or semiautomatic assault rifle including the make, model, caliber and manufacturer's number if available at the time of applying for the purchase of a pistol or semiautomatic assault rifle. If the manufacturer's number is not available at the time of applying for the purchase of a pistol or semiautomatic assault rifle, the application may be processed, but delivery of the pistol or semiautomatic assault rifle to the purchaser may not occur unless the manufacturer's number is recorded on the application by the dealer and transmitted to the chief of police of the municipality or the sheriff of the county in which the purchaser resides, or the state pursuant to subsection (3)(b)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 The triplicate shall be retained by the dealer for six years. The dealer shall deliver the pistol or semiautomatic assault rifle to the purchaser following the period of time specified in this chapter 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 or the state pursuant to subsection (3)(b) of this section, shall retain or destroy applications to purchase a pistol or semiautomatic assault rifle in accordance with the requirements of 18 U.S.C. Sec. 922.</w:t>
      </w:r>
    </w:p>
    <w:p>
      <w:pPr>
        <w:spacing w:before="0" w:after="0" w:line="408" w:lineRule="exact"/>
        <w:ind w:left="0" w:right="0" w:firstLine="576"/>
        <w:jc w:val="left"/>
      </w:pPr>
      <w:r>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t xml:space="preserve">(8)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rPr/>
        <w:t xml:space="preserve">(9)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Section 1 of this act expires six months after the date on
which the Washington state patrol determines that a single point of
contact firearm background check system, for purposes of the federal
Brady handgun violence prevention act (18 U.S.C. Sec. 921 et seq.),
is operational in the state.</w:t>
      </w:r>
    </w:p>
    <w:p>
      <w:pPr>
        <w:spacing w:before="0" w:after="0" w:line="408" w:lineRule="exact"/>
        <w:ind w:left="0" w:right="0" w:firstLine="576"/>
        <w:jc w:val="left"/>
      </w:pPr>
      <w:r>
        <w:rPr/>
        <w:t xml:space="preserve">(2) The Washington state patrol must provide written notice of
the expiration of section 1 of this act to the chief clerk of the
house of representatives, the secretary of the senate, the office of
the code reviser, and others as deemed appropriate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7bca5e7286f4d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14c6281d44b80" /><Relationship Type="http://schemas.openxmlformats.org/officeDocument/2006/relationships/footer" Target="/word/footer1.xml" Id="Ra7bca5e7286f4d15" /></Relationships>
</file>