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137d439c0844f4" /></Relationships>
</file>

<file path=word/document.xml><?xml version="1.0" encoding="utf-8"?>
<w:document xmlns:w="http://schemas.openxmlformats.org/wordprocessingml/2006/main">
  <w:body>
    <w:p>
      <w:r>
        <w:t>H-1794.3</w:t>
      </w:r>
    </w:p>
    <w:p>
      <w:pPr>
        <w:jc w:val="center"/>
      </w:pPr>
      <w:r>
        <w:t>_______________________________________________</w:t>
      </w:r>
    </w:p>
    <w:p/>
    <w:p>
      <w:pPr>
        <w:jc w:val="center"/>
      </w:pPr>
      <w:r>
        <w:rPr>
          <w:b/>
        </w:rPr>
        <w:t>SUBSTITUTE HOUSE BILL 1479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Senn, Ortiz-Self, Harris, Dolan, Orwall, Stonier, Cody, Riccelli, Slatter, Callan, Fey, Eslick, Kilduff, Bergquist, Doglio, Paul, Reeves, Pollet, Hudgins, Davis, Leavitt, Macri, and Steele)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capacity within the educator workforce to improve student mental health and well-being; amending RCW 28A.410.270 and 28A.413.050; adding new sections to chapter 28A.410 RCW; adding a new section to chapter 28A.300 RCW; adding a new section to chapter 28A.415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w:t>
      </w:r>
    </w:p>
    <w:p>
      <w:pPr>
        <w:spacing w:before="0" w:after="0" w:line="408" w:lineRule="exact"/>
        <w:ind w:left="0" w:right="0" w:firstLine="576"/>
        <w:jc w:val="left"/>
      </w:pPr>
      <w:r>
        <w:rPr/>
        <w:t xml:space="preserve">(1) The mental health and well-being of students in Washington schools is of utmost importance to improve academic learning, social-emotional learning, school safety, and success in school and life. Building a safe and supportive school climate where students feel a deep sense of belonging takes intentional, coordinated work by educators demonstrating shared knowledge and skills.</w:t>
      </w:r>
    </w:p>
    <w:p>
      <w:pPr>
        <w:spacing w:before="0" w:after="0" w:line="408" w:lineRule="exact"/>
        <w:ind w:left="0" w:right="0" w:firstLine="576"/>
        <w:jc w:val="left"/>
      </w:pPr>
      <w:r>
        <w:rPr/>
        <w:t xml:space="preserve">(2) Educators and other school staff are on the front lines to notice the behavioral and mental health of students. However, educators in Washington's public schools possess varying skills and knowledge about how to recognize signs of social-emotional distress and how to ensure that students receive timely and appropriate services and support from qualified professionals who are licensed to provide mental health services.</w:t>
      </w:r>
    </w:p>
    <w:p>
      <w:pPr>
        <w:spacing w:before="0" w:after="0" w:line="408" w:lineRule="exact"/>
        <w:ind w:left="0" w:right="0" w:firstLine="576"/>
        <w:jc w:val="left"/>
      </w:pPr>
      <w:r>
        <w:rPr/>
        <w:t xml:space="preserve">(3) Professional learning for educators and other school staff to address the mental health and well-being of students is widely variable across the state and is without specific standards or a consistent approach. The need for robust training and basic competencies for educators in these areas is critical to address the mental health and well-being of students in the classroom. The educator workforce must be equipped with the knowledge and skills to build these competencies to be responsive to the changing needs of students in Washington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the social-emotional learning standards and benchmarks recommended by the social emotional learning benchmarks work group in its October 1, 2016, final report titled, "addressing social emotional learning in Washington's K-12 public schools" into principal knowledge, skill, and performance standards.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the social-emotional learning standards and benchmarks recommended by the social emotional learning benchmarks work group in its October 1, 2016, final report titled, "addressing social emotional learning in Washington's K-12 public schools" into the standards of practice for paraeducators adopted under subsection (1) of this section. In incorporating the social-emotional learning standards and benchmarks, the board must include related competencies, such as trauma-informed practices,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create and publish on its web site an inventory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in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
      <w:pPr>
        <w:jc w:val="center"/>
      </w:pPr>
      <w:r>
        <w:rPr>
          <w:b/>
        </w:rPr>
        <w:t>--- END ---</w:t>
      </w:r>
    </w:p>
    <w:sectPr>
      <w:pgNumType w:start="1"/>
      <w:footerReference xmlns:r="http://schemas.openxmlformats.org/officeDocument/2006/relationships" r:id="Rc96bb071b9b5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3984291ef4520" /><Relationship Type="http://schemas.openxmlformats.org/officeDocument/2006/relationships/footer" Target="/word/footer1.xml" Id="Rc96bb071b9b54fd2" /></Relationships>
</file>