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c29b9c71d243be" /></Relationships>
</file>

<file path=word/document.xml><?xml version="1.0" encoding="utf-8"?>
<w:document xmlns:w="http://schemas.openxmlformats.org/wordprocessingml/2006/main">
  <w:body>
    <w:p>
      <w:r>
        <w:t>H-0936.1</w:t>
      </w:r>
    </w:p>
    <w:p>
      <w:pPr>
        <w:jc w:val="center"/>
      </w:pPr>
      <w:r>
        <w:t>_______________________________________________</w:t>
      </w:r>
    </w:p>
    <w:p/>
    <w:p>
      <w:pPr>
        <w:jc w:val="center"/>
      </w:pPr>
      <w:r>
        <w:rPr>
          <w:b/>
        </w:rPr>
        <w:t>HOUSE BILL 1574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Callan, Eslick, Senn, Caldier, Frame, Dolan, Fey, Wylie, Lovick, Thai, Shewmake, Valdez, Bergquist, Stanford, Doglio, Reeves, Robinson, Cody, Goodman, Lekanoff, Kloba, Slatter, Davis, and Macri</w:t>
      </w:r>
    </w:p>
    <w:p/>
    <w:p>
      <w:r>
        <w:rPr>
          <w:t xml:space="preserve">Read first time 01/24/19.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eligibility for child care and early learning programs for homeless and other vulnerable children; and amending RCW 43.216.505 and 43.216.135.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w:t>
      </w:r>
      <w:r>
        <w:rPr>
          <w:u w:val="single"/>
        </w:rPr>
        <w:t xml:space="preserve">a child who is homeless;</w:t>
      </w:r>
      <w:r>
        <w:rPr/>
        <w:t xml:space="preserve">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For purposes of this section,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The department shall designate homeless children as a vulnerable population pursuant to 45 C.F.R. Sec. 98.20 as it existed on January 1, 2019, to allow eligibility and twelve-month authorizations for working connections child care subsidies for homeless children.</w:t>
      </w:r>
    </w:p>
    <w:p>
      <w:pPr>
        <w:spacing w:before="0" w:after="0" w:line="408" w:lineRule="exact"/>
        <w:ind w:left="0" w:right="0" w:firstLine="576"/>
        <w:jc w:val="left"/>
      </w:pPr>
      <w:r>
        <w:rPr>
          <w:u w:val="single"/>
        </w:rPr>
        <w:t xml:space="preserve">(b) For purposes of this subsection, "homeless" means without a fixed, regular, and adequate nighttime residence as set forth in the federal McKinney-Vento homeless assistance act, P.L. 100–77, July 22, 1987, 101 Stat. 482, and runaway and homeless youth act, P.L. 93–415, Title III, September 7, 1974, 88 Stat. 1129.</w:t>
      </w:r>
    </w:p>
    <w:p/>
    <w:p>
      <w:pPr>
        <w:jc w:val="center"/>
      </w:pPr>
      <w:r>
        <w:rPr>
          <w:b/>
        </w:rPr>
        <w:t>--- END ---</w:t>
      </w:r>
    </w:p>
    <w:sectPr>
      <w:pgNumType w:start="1"/>
      <w:footerReference xmlns:r="http://schemas.openxmlformats.org/officeDocument/2006/relationships" r:id="Rd0a1b08f110846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40d3024b894ce4" /><Relationship Type="http://schemas.openxmlformats.org/officeDocument/2006/relationships/footer" Target="/word/footer1.xml" Id="Rd0a1b08f110846c3" /></Relationships>
</file>