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c043c889547b6" /></Relationships>
</file>

<file path=word/document.xml><?xml version="1.0" encoding="utf-8"?>
<w:document xmlns:w="http://schemas.openxmlformats.org/wordprocessingml/2006/main">
  <w:body>
    <w:p>
      <w:r>
        <w:t>H-2044.2</w:t>
      </w:r>
    </w:p>
    <w:p>
      <w:pPr>
        <w:jc w:val="center"/>
      </w:pPr>
      <w:r>
        <w:t>_______________________________________________</w:t>
      </w:r>
    </w:p>
    <w:p/>
    <w:p>
      <w:pPr>
        <w:jc w:val="center"/>
      </w:pPr>
      <w:r>
        <w:rPr>
          <w:b/>
        </w:rPr>
        <w:t>SECOND SUBSTITUTE HOUSE BILL 1579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Peterson, Lekanoff, Doglio, Macri, Stonier, Tharinger, Stanford, Jinkins, Robinson, Pollet, Valdez, Cody, Kloba, Slatter, Frame, and Davis; by request of Office of the Governor)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chinook abundance; amending RCW 77.32.010 and 43.21B.110; adding a new section to chapter 77.08 RCW; adding new sections to chapter 77.55 RCW; creating a new section; repealing RCW 77.55.141 and 77.55.291;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violation of this chapter or of the rules implementing this chapter or there is a deviation from the hydraulic project approval; and</w:t>
      </w:r>
    </w:p>
    <w:p>
      <w:pPr>
        <w:spacing w:before="0" w:after="0" w:line="408" w:lineRule="exact"/>
        <w:ind w:left="0" w:right="0" w:firstLine="576"/>
        <w:jc w:val="left"/>
      </w:pPr>
      <w:r>
        <w:rPr/>
        <w:t xml:space="preserve">(b)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the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 A stop work order may also require that any project proponent take corrective action to prevent, correct, or compensate for adverse impacts to fish life and fish habitat.</w:t>
      </w:r>
    </w:p>
    <w:p>
      <w:pPr>
        <w:spacing w:before="0" w:after="0" w:line="408" w:lineRule="exact"/>
        <w:ind w:left="0" w:right="0" w:firstLine="576"/>
        <w:jc w:val="left"/>
      </w:pPr>
      <w:r>
        <w:rPr/>
        <w:t xml:space="preserve">(c) A stop work order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 to be achieved;</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a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The department may levy civil penalties of up to ten thousand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(b) Penalties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NumType w:start="1"/>
      <w:footerReference xmlns:r="http://schemas.openxmlformats.org/officeDocument/2006/relationships" r:id="Re15465f98dd749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96e1eb1454951" /><Relationship Type="http://schemas.openxmlformats.org/officeDocument/2006/relationships/footer" Target="/word/footer1.xml" Id="Re15465f98dd749b5" /></Relationships>
</file>