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c2912495eb42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Stonier, Harris, Dolan, Ortiz-Self, MacEwen, Kilduff, Young, Valdez, Wylie, Volz, Bergquist, Stanford, Tharinger, Lekanoff, Pollet, Slatter,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28A.305.130, 28A.320.190, 28A.320.208, 28A.600.310, 28A.700.080, 28A.415.360, 28A.655.068, 28A.655.070, 28A.655.090, 28A.655.200, and 28A.655.063; adding new sections to chapter 28A.655 RCW; adding a new section to chapter 28A.230 RCW; creating new sections; repealing RCW 28A.655.066;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and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equivalent, in AP, international baccalaureate, or Cambridge international courses in English language arts and mathematics. For English language arts, successfully completing any of the following courses meets the standard: AP English language and composition; macroeconomics; microeconomics; psychology; United States history; world history; United States government and politics; comparative government and politics; and any of the international baccalaureate individuals and societies courses. For mathematics, successfully completing any of the following courses meets the standard: AP statistics or calculus; and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including those leading to workforce entry, state or nationally approved apprenticeships, or postsecondary education, that meet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June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 and</w:t>
      </w:r>
    </w:p>
    <w:p>
      <w:pPr>
        <w:spacing w:before="0" w:after="0" w:line="408" w:lineRule="exact"/>
        <w:ind w:left="0" w:right="0" w:firstLine="576"/>
        <w:jc w:val="left"/>
      </w:pPr>
      <w:r>
        <w:rPr/>
        <w:t xml:space="preserve">(c) Expansion of mastery-based credits to meet graduation requirements.</w:t>
      </w:r>
    </w:p>
    <w:p>
      <w:pPr>
        <w:spacing w:before="0" w:after="0" w:line="408" w:lineRule="exact"/>
        <w:ind w:left="0" w:right="0" w:firstLine="576"/>
        <w:jc w:val="left"/>
      </w:pPr>
      <w:r>
        <w:rPr/>
        <w:t xml:space="preserve">(3)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(4)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(5)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select and contract with a vendor to develop and implement a statewide online electronic platform for high school and beyond plans required by RCW 28A.230.090. Beginning in the 2020-21 school year, the platform must be available to all students who are required to have a high school and beyond plan.</w:t>
      </w:r>
    </w:p>
    <w:p>
      <w:pPr>
        <w:spacing w:before="0" w:after="0" w:line="408" w:lineRule="exact"/>
        <w:ind w:left="0" w:right="0" w:firstLine="576"/>
        <w:jc w:val="left"/>
      </w:pPr>
      <w:r>
        <w:rPr/>
        <w:t xml:space="preserve">(3) At a minimum, the platform must:</w:t>
      </w:r>
    </w:p>
    <w:p>
      <w:pPr>
        <w:spacing w:before="0" w:after="0" w:line="408" w:lineRule="exact"/>
        <w:ind w:left="0" w:right="0" w:firstLine="576"/>
        <w:jc w:val="left"/>
      </w:pPr>
      <w:r>
        <w:rPr/>
        <w:t xml:space="preserve">(a) Enable students to create, personalize, review, and revise their high school and beyond plans;</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Be capable of being maintained by the office of the superintendent of public instruction within two years after its initial implementation; and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and 301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8a5b879e6f2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70bf866594c8f" /><Relationship Type="http://schemas.openxmlformats.org/officeDocument/2006/relationships/footer" Target="/word/footer1.xml" Id="R98a5b879e6f24a93" /></Relationships>
</file>