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2ce25c85e4734" /></Relationships>
</file>

<file path=word/document.xml><?xml version="1.0" encoding="utf-8"?>
<w:document xmlns:w="http://schemas.openxmlformats.org/wordprocessingml/2006/main">
  <w:body>
    <w:p>
      <w:r>
        <w:t>H-0762.1</w:t>
      </w:r>
    </w:p>
    <w:p>
      <w:pPr>
        <w:jc w:val="center"/>
      </w:pPr>
      <w:r>
        <w:t>_______________________________________________</w:t>
      </w:r>
    </w:p>
    <w:p/>
    <w:p>
      <w:pPr>
        <w:jc w:val="center"/>
      </w:pPr>
      <w:r>
        <w:rPr>
          <w:b/>
        </w:rPr>
        <w:t>HOUSE BILL 1641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Stonier, Steele, Senn, Bergquist, and Tarleton</w:t>
      </w:r>
    </w:p>
    <w:p/>
    <w:p>
      <w:r>
        <w:rPr>
          <w:t xml:space="preserve">Read first time 01/25/19.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equity in programs for highly capable students; amending RCW 28A.185.020, 28A.185.030, 28A.185.050, 28A.160.160, 28A.300.042, 28A.300.770, and 28B.10.032; adding a new section to chapter 28A.185 RCW; adding a new section to chapter 28A.300 RCW; and adding a new section to chapter 28A.415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Subject to the availability of amounts appropriated for this specific purpose, each school district must conduct universal screenings for each student at least once, in or before second and sixth grade, to find students who need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shall designate at least two full-time equivalent professional staff and at least one 0.5 support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section 2 of this act to provide a minimum of two hours of annual professional development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Subject to the availability of amounts appropriated for this specific purpose, each school district must provide additional professional development.</w:t>
      </w:r>
    </w:p>
    <w:p>
      <w:pPr>
        <w:spacing w:before="0" w:after="0" w:line="408" w:lineRule="exact"/>
        <w:ind w:left="0" w:right="0" w:firstLine="576"/>
        <w:jc w:val="left"/>
      </w:pPr>
      <w:r>
        <w:rPr/>
        <w:t xml:space="preserve">(b) The professional development must include all certificated and classified instructional staff, principals, and counselors, and may include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p>
    <w:p/>
    <w:p>
      <w:pPr>
        <w:jc w:val="center"/>
      </w:pPr>
      <w:r>
        <w:rPr>
          <w:b/>
        </w:rPr>
        <w:t>--- END ---</w:t>
      </w:r>
    </w:p>
    <w:sectPr>
      <w:pgNumType w:start="1"/>
      <w:footerReference xmlns:r="http://schemas.openxmlformats.org/officeDocument/2006/relationships" r:id="R7544019b53e948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03d069ed9b4b59" /><Relationship Type="http://schemas.openxmlformats.org/officeDocument/2006/relationships/footer" Target="/word/footer1.xml" Id="R7544019b53e94890" /></Relationships>
</file>