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5dfed90ff04993" /></Relationships>
</file>

<file path=word/document.xml><?xml version="1.0" encoding="utf-8"?>
<w:document xmlns:w="http://schemas.openxmlformats.org/wordprocessingml/2006/main">
  <w:body>
    <w:p>
      <w:r>
        <w:t>H-1138.1</w:t>
      </w:r>
    </w:p>
    <w:p>
      <w:pPr>
        <w:jc w:val="center"/>
      </w:pPr>
      <w:r>
        <w:t>_______________________________________________</w:t>
      </w:r>
    </w:p>
    <w:p/>
    <w:p>
      <w:pPr>
        <w:jc w:val="center"/>
      </w:pPr>
      <w:r>
        <w:rPr>
          <w:b/>
        </w:rPr>
        <w:t>HOUSE BILL 1777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Harris, Macri, Schmick, Vick, Appleton, and Robinson</w:t>
      </w:r>
    </w:p>
    <w:p/>
    <w:p>
      <w:r>
        <w:rPr>
          <w:t xml:space="preserve">Read first time 01/30/19.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existing ambulatory surgical facilities from certificate of need; and amending RCW 70.38.111.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for the period of time from May 5, 2017, through June 30, 2019:</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u w:val="single"/>
        </w:rPr>
        <w:t xml:space="preserve">(12) Any ambulatory surgical facility that was in existence and operated prior to January 19, 2018, and was exempt from having to obtain a certificate of need either (a) because it had been determined to be exempt from certificate of need requirements pursuant to a determination of reviewability issued by the department, or (b) is an endoscopy center that was in existence prior to January 14, 2003, when the department determined that endoscopy procedures were surgeries for purposes of certificate of need, shall remain as exempt from all certificate of need requirements after January 19, 2018, regardless of future changes of ownership, corporate structure, or affiliations of the group practice, so long as the use of such facility remains limited to physicians in the group practice. This exemption is not valid for any change in services, specialties, or number of operating rooms.</w:t>
      </w:r>
    </w:p>
    <w:p/>
    <w:p>
      <w:pPr>
        <w:jc w:val="center"/>
      </w:pPr>
      <w:r>
        <w:rPr>
          <w:b/>
        </w:rPr>
        <w:t>--- END ---</w:t>
      </w:r>
    </w:p>
    <w:sectPr>
      <w:pgNumType w:start="1"/>
      <w:footerReference xmlns:r="http://schemas.openxmlformats.org/officeDocument/2006/relationships" r:id="R82bcba672c184b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c1f26b6dea4a6a" /><Relationship Type="http://schemas.openxmlformats.org/officeDocument/2006/relationships/footer" Target="/word/footer1.xml" Id="R82bcba672c184bc0" /></Relationships>
</file>