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bdab3897d04259" /></Relationships>
</file>

<file path=word/document.xml><?xml version="1.0" encoding="utf-8"?>
<w:document xmlns:w="http://schemas.openxmlformats.org/wordprocessingml/2006/main">
  <w:body>
    <w:p>
      <w:r>
        <w:t>H-0939.1</w:t>
      </w:r>
    </w:p>
    <w:p>
      <w:pPr>
        <w:jc w:val="center"/>
      </w:pPr>
      <w:r>
        <w:t>_______________________________________________</w:t>
      </w:r>
    </w:p>
    <w:p/>
    <w:p>
      <w:pPr>
        <w:jc w:val="center"/>
      </w:pPr>
      <w:r>
        <w:rPr>
          <w:b/>
        </w:rPr>
        <w:t>HOUSE BILL 1806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Orcutt</w:t>
      </w:r>
    </w:p>
    <w:p/>
    <w:p>
      <w:r>
        <w:rPr>
          <w:t xml:space="preserve">Read first time 01/31/19.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valuation of vehicles in private sales for purposes of use taxation; and amending RCW 46.04.670 and 82.12.020.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670</w:t>
      </w:r>
      <w:r>
        <w:rPr/>
        <w:t xml:space="preserve"> and 2011 c 171 s 19 are each amended to read as follows:</w:t>
      </w:r>
    </w:p>
    <w:p>
      <w:pPr>
        <w:spacing w:before="0" w:after="0" w:line="408" w:lineRule="exact"/>
        <w:ind w:left="0" w:right="0" w:firstLine="576"/>
        <w:jc w:val="left"/>
      </w:pPr>
      <w:r>
        <w:rPr/>
        <w:t xml:space="preserve">"Vehicle" includes every device capable of being moved upon a public highway and in, upon, or by which any persons or property is or may be transported or drawn upon a public highway, including bicycles. "Vehicle" does not include power wheelchairs or devices other than bicycles moved by human or animal power or used exclusively upon stationary rails or tracks. Mopeds are not considered vehicles or motor vehicles for the purposes of chapter 46.70 RCW. Bicycles are not considered vehicles for the purposes of chapter 46.12, 46.16A, or 46.70 RCW or RCW 82.12.045 </w:t>
      </w:r>
      <w:r>
        <w:rPr>
          <w:u w:val="single"/>
        </w:rPr>
        <w:t xml:space="preserve">or 82.12.020</w:t>
      </w:r>
      <w:r>
        <w:rPr/>
        <w:t xml:space="preserve">. Electric personal assistive mobility devices are not considered vehicles or motor vehicles for the purposes of chapter 46.12, 46.16A, 46.29, 46.37, or 46.70 RCW. A golf cart is not considered a vehicle, except for the purposes of chapter 46.61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w:t>
      </w:r>
      <w:r>
        <w:rPr>
          <w:u w:val="single"/>
        </w:rPr>
        <w:t xml:space="preserve">and (c)</w:t>
      </w:r>
      <w:r>
        <w:rPr/>
        <w:t xml:space="preserve">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u w:val="single"/>
        </w:rPr>
        <w:t xml:space="preserve">(c) In the case of a sale of a vehicle between two private individuals, the tax must be collected in an amount equal to the purchase price multiplied by the applicable rate for the retail sales tax under RCW 82.08.020. For the purposes of this subsection (4)(c), "vehicle" has the same meaning as provided in RCW 46.04.670.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
      <w:pPr>
        <w:jc w:val="center"/>
      </w:pPr>
      <w:r>
        <w:rPr>
          <w:b/>
        </w:rPr>
        <w:t>--- END ---</w:t>
      </w:r>
    </w:p>
    <w:sectPr>
      <w:pgNumType w:start="1"/>
      <w:footerReference xmlns:r="http://schemas.openxmlformats.org/officeDocument/2006/relationships" r:id="Rdcd6fbac45834a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8fecf27793406e" /><Relationship Type="http://schemas.openxmlformats.org/officeDocument/2006/relationships/footer" Target="/word/footer1.xml" Id="Rdcd6fbac45834a1b" /></Relationships>
</file>