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010874b684de3" /></Relationships>
</file>

<file path=word/document.xml><?xml version="1.0" encoding="utf-8"?>
<w:document xmlns:w="http://schemas.openxmlformats.org/wordprocessingml/2006/main">
  <w:body>
    <w:p>
      <w:r>
        <w:t>H-0392.1</w:t>
      </w:r>
    </w:p>
    <w:p>
      <w:pPr>
        <w:jc w:val="center"/>
      </w:pPr>
      <w:r>
        <w:t>_______________________________________________</w:t>
      </w:r>
    </w:p>
    <w:p/>
    <w:p>
      <w:pPr>
        <w:jc w:val="center"/>
      </w:pPr>
      <w:r>
        <w:rPr>
          <w:b/>
        </w:rPr>
        <w:t>HOUSE BILL 1857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Dolan, Macri, Riccelli, Rude, and Shewmake</w:t>
      </w:r>
    </w:p>
    <w:p/>
    <w:p>
      <w:r>
        <w:rPr>
          <w:t xml:space="preserve">Read first time 02/01/19.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supervision requirements for plasma donation centers; and reenacting and amending RCW 18.360.010.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w:t>
      </w:r>
      <w:r>
        <w:rPr>
          <w:u w:val="single"/>
        </w:rPr>
        <w:t xml:space="preserve">or at a plasma donation facility</w:t>
      </w:r>
      <w:r>
        <w:rPr/>
        <w:t xml:space="preserve">, but must be immediately available.</w:t>
      </w:r>
    </w:p>
    <w:p/>
    <w:p>
      <w:pPr>
        <w:jc w:val="center"/>
      </w:pPr>
      <w:r>
        <w:rPr>
          <w:b/>
        </w:rPr>
        <w:t>--- END ---</w:t>
      </w:r>
    </w:p>
    <w:sectPr>
      <w:pgNumType w:start="1"/>
      <w:footerReference xmlns:r="http://schemas.openxmlformats.org/officeDocument/2006/relationships" r:id="R8f3bf4d670874c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d6f7573a54d30" /><Relationship Type="http://schemas.openxmlformats.org/officeDocument/2006/relationships/footer" Target="/word/footer1.xml" Id="R8f3bf4d670874c4a" /></Relationships>
</file>