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b35871ce5e483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Harris, Macri, DeBolt, Pollet, Robinson, Tharinger,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practice guidelines used by a health carrier or review organization as an element in the evaluation of medical necessity and appropriateness of requested prescription drugs under the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health services, supplies, and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review organization, that are designed to monitor the use of or evaluate the medical necessity, appropriateness, efficacy, or efficiency of prescription drugs including, but not limited to, prior authorization and step therapy protocol.</w:t>
      </w:r>
    </w:p>
    <w:p>
      <w:pPr>
        <w:spacing w:before="0" w:after="0" w:line="408" w:lineRule="exact"/>
        <w:ind w:left="0" w:right="0" w:firstLine="576"/>
        <w:jc w:val="left"/>
      </w:pPr>
      <w:r>
        <w:rPr/>
        <w:t xml:space="preserve">(6) "Prior authorization" means a mandatory process that a carrier or its designated or contracted representative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(7)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 clinical review criteria used to establish a prescription drug utilization management protocol must be evidence-based and continually updated through review of new evidence, research, and newly developed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where the prescription drug utilization management is overridden in favor of coverage of the selected prescription drug of the prescribing health care provider. A health carrier or review organization may use its existing medical exceptions process to satisfy this requirement. The process must be easily accessible on the health carrier or review organization's web site. Approval criteria must be clearly posted on the health carrier or review organization's web site, providing specific information on documentation and other criteria. This information must be in plain language and understandable to providers and patients.</w:t>
      </w:r>
    </w:p>
    <w:p>
      <w:pPr>
        <w:spacing w:before="0" w:after="0" w:line="408" w:lineRule="exact"/>
        <w:ind w:left="0" w:right="0" w:firstLine="576"/>
        <w:jc w:val="left"/>
      </w:pPr>
      <w:r>
        <w:rPr/>
        <w:t xml:space="preserve">(2) Health carriers must disclose all rules related to the prescription drug utilization management process to all participating providers, including the specific information and documentation that must be submitted in order to be considered a completed exception request.</w:t>
      </w:r>
    </w:p>
    <w:p>
      <w:pPr>
        <w:spacing w:before="0" w:after="0" w:line="408" w:lineRule="exact"/>
        <w:ind w:left="0" w:right="0" w:firstLine="576"/>
        <w:jc w:val="left"/>
      </w:pPr>
      <w:r>
        <w:rPr/>
        <w:t xml:space="preserve">(3) An exception request must be granted if sufficient evidence is submitted by the provider and patient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his or her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receiving a positive therapeutic outcome on a prescription drug recommended by the patient's provider for the medical condition under consideration while on a current or the immediately preceding health benefit plan;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review organization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review organization must:</w:t>
      </w:r>
    </w:p>
    <w:p>
      <w:pPr>
        <w:spacing w:before="0" w:after="0" w:line="408" w:lineRule="exact"/>
        <w:ind w:left="0" w:right="0" w:firstLine="576"/>
        <w:jc w:val="left"/>
      </w:pPr>
      <w:r>
        <w:rPr/>
        <w:t xml:space="preserve">(i) Within three business days notify the provider that additional information, as disclosed under subsection (2) of this section, is required in order to approve or deny the exception,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as disclosed under subsection (2) of this section, approve a request if the information provided meets at least one of the conditions outlined in subsection (3) of this section, or deny a request if the requested service does not meet at least one of the conditions outlined in subsection (3) of this section.</w:t>
      </w:r>
    </w:p>
    <w:p>
      <w:pPr>
        <w:spacing w:before="0" w:after="0" w:line="408" w:lineRule="exact"/>
        <w:ind w:left="0" w:right="0" w:firstLine="576"/>
        <w:jc w:val="left"/>
      </w:pPr>
      <w:r>
        <w:rPr/>
        <w:t xml:space="preserve">(b) For urgent exception requests, the health carrier or review organization must:</w:t>
      </w:r>
    </w:p>
    <w:p>
      <w:pPr>
        <w:spacing w:before="0" w:after="0" w:line="408" w:lineRule="exact"/>
        <w:ind w:left="0" w:right="0" w:firstLine="576"/>
        <w:jc w:val="left"/>
      </w:pPr>
      <w:r>
        <w:rPr/>
        <w:t xml:space="preserve">(i) Within one business day notify the provider that additional information, as disclosed under subsection (2) of this section, is required in order to approve or deny the exception,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as disclosed under subsection (2) of this section, approve a request if the information provided meets at least one of the conditions outlined in subsection (3) of this section, or deny a request if the requested service does not meet at least one of the conditions outlined in subsection (3) of this section.</w:t>
      </w:r>
    </w:p>
    <w:p>
      <w:pPr>
        <w:spacing w:before="0" w:after="0" w:line="408" w:lineRule="exact"/>
        <w:ind w:left="0" w:right="0" w:firstLine="576"/>
        <w:jc w:val="left"/>
      </w:pPr>
      <w:r>
        <w:rPr/>
        <w:t xml:space="preserve">(c) If a response by a health carrier or review organization is not received within the time allotted, the exception or appeal is deemed granted.</w:t>
      </w:r>
    </w:p>
    <w:p>
      <w:pPr>
        <w:spacing w:before="0" w:after="0" w:line="408" w:lineRule="exact"/>
        <w:ind w:left="0" w:right="0" w:firstLine="576"/>
        <w:jc w:val="left"/>
      </w:pPr>
      <w:r>
        <w:rPr/>
        <w:t xml:space="preserve">(d) For purposes of this subsection,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the health care provider determines an emergency fill is necessary to keep the patient stable while the exception request is being processed.</w:t>
      </w:r>
    </w:p>
    <w:p>
      <w:pPr>
        <w:spacing w:before="0" w:after="0" w:line="408" w:lineRule="exact"/>
        <w:ind w:left="0" w:right="0" w:firstLine="576"/>
        <w:jc w:val="left"/>
      </w:pPr>
      <w:r>
        <w:rPr/>
        <w:t xml:space="preserve">(7) When responding to a prescription drug utilization management exception request, a health carrier or review organization shall clearly state in their response if the exception request was approved or denied. The health carrier must use clinical review criteria as outlined in section 2 of this act for the basis of any denial. The denial must include the specific clinical review criteria relied on for the denial and information about any internal and external appeals process for the denial of the prescription drug utilization management exception request. If the exception request from the provider or facility is denied for administrative reasons, or for not including all the necessary information, the health carrier or review organization must inform the provider or facility what additional information is needed and the deadline for its submission.</w:t>
      </w:r>
    </w:p>
    <w:p>
      <w:pPr>
        <w:spacing w:before="0" w:after="0" w:line="408" w:lineRule="exact"/>
        <w:ind w:left="0" w:right="0" w:firstLine="576"/>
        <w:jc w:val="left"/>
      </w:pPr>
      <w:r>
        <w:rPr/>
        <w:t xml:space="preserve">(8) The health carrier or review organization must permit a stabilized patient to remain on a drug during an exception or appeals process.</w:t>
      </w:r>
    </w:p>
    <w:p>
      <w:pPr>
        <w:spacing w:before="0" w:after="0" w:line="408" w:lineRule="exact"/>
        <w:ind w:left="0" w:right="0" w:firstLine="576"/>
        <w:jc w:val="left"/>
      </w:pPr>
      <w:r>
        <w:rPr/>
        <w:t xml:space="preserve">(9) A health carrier must provide sixty days' notice for any new rules that apply to prescription drug utilization management protocols. New health carrier rules or policies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review organization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review organization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adopt rules necessary for the implementation of this act.</w:t>
      </w:r>
    </w:p>
    <w:p/>
    <w:p>
      <w:pPr>
        <w:jc w:val="center"/>
      </w:pPr>
      <w:r>
        <w:rPr>
          <w:b/>
        </w:rPr>
        <w:t>--- END ---</w:t>
      </w:r>
    </w:p>
    <w:sectPr>
      <w:pgNumType w:start="1"/>
      <w:footerReference xmlns:r="http://schemas.openxmlformats.org/officeDocument/2006/relationships" r:id="Rdacf23aae3b142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ab80254d1418a" /><Relationship Type="http://schemas.openxmlformats.org/officeDocument/2006/relationships/footer" Target="/word/footer1.xml" Id="Rdacf23aae3b14253" /></Relationships>
</file>