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530f082aee44bd" /></Relationships>
</file>

<file path=word/document.xml><?xml version="1.0" encoding="utf-8"?>
<w:document xmlns:w="http://schemas.openxmlformats.org/wordprocessingml/2006/main">
  <w:body>
    <w:p>
      <w:r>
        <w:t>H-1266.4</w:t>
      </w:r>
    </w:p>
    <w:p>
      <w:pPr>
        <w:jc w:val="center"/>
      </w:pPr>
      <w:r>
        <w:t>_______________________________________________</w:t>
      </w:r>
    </w:p>
    <w:p/>
    <w:p>
      <w:pPr>
        <w:jc w:val="center"/>
      </w:pPr>
      <w:r>
        <w:rPr>
          <w:b/>
        </w:rPr>
        <w:t>HOUSE BILL 1923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Fitzgibbon, Macri, Appleton, Doglio, Dolan, Santos, and Frame</w:t>
      </w:r>
    </w:p>
    <w:p/>
    <w:p>
      <w:r>
        <w:rPr>
          <w:t xml:space="preserve">Read first time 02/06/19.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urban residential building capacity; amending RCW 36.70A.030, 43.21C.450, 70.146.070, 43.155.070, 47.26.086, 43.21C.420, 36.70A.490, and 82.02.060; reenacting and amending RCW 36.70A.070; adding new sections to chapter 36.70A RCW; adding a new section to chapter 43.21C RCW;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city planning pursuant to RCW 36.70A.040 with a population greater than ten thousand shall take two or more of the following actions by December 31, 2022, in order to increase its residential building capacity:</w:t>
      </w:r>
    </w:p>
    <w:p>
      <w:pPr>
        <w:spacing w:before="0" w:after="0" w:line="408" w:lineRule="exact"/>
        <w:ind w:left="0" w:right="0" w:firstLine="576"/>
        <w:jc w:val="left"/>
      </w:pPr>
      <w:r>
        <w:rPr/>
        <w:t xml:space="preserve">(a) Authorize development of at least fifty residential units per acre in locations that are located within one-half mile of a fixed guideway transit station;</w:t>
      </w:r>
    </w:p>
    <w:p>
      <w:pPr>
        <w:spacing w:before="0" w:after="0" w:line="408" w:lineRule="exact"/>
        <w:ind w:left="0" w:right="0" w:firstLine="576"/>
        <w:jc w:val="left"/>
      </w:pPr>
      <w:r>
        <w:rPr/>
        <w:t xml:space="preserve">(b) Authorize at least one duplex, triplex, or courtyard apartment on each parcel in one or more single-family residential zones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(c) Require no more than one on-site parking space per two dwelling units in multifamily zones that are located within one-half mile of a fixed guideway transit station;</w:t>
      </w:r>
    </w:p>
    <w:p>
      <w:pPr>
        <w:spacing w:before="0" w:after="0" w:line="408" w:lineRule="exact"/>
        <w:ind w:left="0" w:right="0" w:firstLine="576"/>
        <w:jc w:val="left"/>
      </w:pPr>
      <w:r>
        <w:rPr/>
        <w:t xml:space="preserve">(d) Authorize accessory dwelling units on all lots located in single-family residential zoning districts;</w:t>
      </w:r>
    </w:p>
    <w:p>
      <w:pPr>
        <w:spacing w:before="0" w:after="0" w:line="408" w:lineRule="exact"/>
        <w:ind w:left="0" w:right="0" w:firstLine="576"/>
        <w:jc w:val="left"/>
      </w:pPr>
      <w:r>
        <w:rPr/>
        <w:t xml:space="preserve">(e) Adopt a planned action pursuant to RCW 43.21C.420, except that an environmental impact statement pursuant to RCW 43.21C.030 is not required for such an action;</w:t>
      </w:r>
    </w:p>
    <w:p>
      <w:pPr>
        <w:spacing w:before="0" w:after="0" w:line="408" w:lineRule="exact"/>
        <w:ind w:left="0" w:right="0" w:firstLine="576"/>
        <w:jc w:val="left"/>
      </w:pPr>
      <w:r>
        <w:rPr/>
        <w:t xml:space="preserve">(f) Adopt a planned action pursuant to RCW 43.21C.440, except that an environmental impact statement pursuant to RCW 43.21C.030 is not required for such an action;</w:t>
      </w:r>
    </w:p>
    <w:p>
      <w:pPr>
        <w:spacing w:before="0" w:after="0" w:line="408" w:lineRule="exact"/>
        <w:ind w:left="0" w:right="0" w:firstLine="576"/>
        <w:jc w:val="left"/>
      </w:pPr>
      <w:r>
        <w:rPr/>
        <w:t xml:space="preserve">(g) Adapt the maximum feasible number of categorical exemptions pursuant to RCW 43.21C.229 for single-family and multifamily development.</w:t>
      </w:r>
    </w:p>
    <w:p>
      <w:pPr>
        <w:spacing w:before="0" w:after="0" w:line="408" w:lineRule="exact"/>
        <w:ind w:left="0" w:right="0" w:firstLine="576"/>
        <w:jc w:val="left"/>
      </w:pPr>
      <w:r>
        <w:rPr/>
        <w:t xml:space="preserve">(2) A city planning pursuant to RCW 36.70A.040 with a population greater than ten thousand shall take two or more of the following actions by December 31, 2022, in order to increase housing affordability:</w:t>
      </w:r>
    </w:p>
    <w:p>
      <w:pPr>
        <w:spacing w:before="0" w:after="0" w:line="408" w:lineRule="exact"/>
        <w:ind w:left="0" w:right="0" w:firstLine="576"/>
        <w:jc w:val="left"/>
      </w:pPr>
      <w:r>
        <w:rPr/>
        <w:t xml:space="preserve">(a) Adopt an inclusionary zoning program, in which twenty-five percent of the new housing capacity directed by this act consists of affordable housing; or</w:t>
      </w:r>
    </w:p>
    <w:p>
      <w:pPr>
        <w:spacing w:before="0" w:after="0" w:line="408" w:lineRule="exact"/>
        <w:ind w:left="0" w:right="0" w:firstLine="576"/>
        <w:jc w:val="left"/>
      </w:pPr>
      <w:r>
        <w:rPr/>
        <w:t xml:space="preserve">(b) Take some other action to address affordability for very low-income households.</w:t>
      </w:r>
    </w:p>
    <w:p>
      <w:pPr>
        <w:spacing w:before="0" w:after="0" w:line="408" w:lineRule="exact"/>
        <w:ind w:left="0" w:right="0" w:firstLine="576"/>
        <w:jc w:val="left"/>
      </w:pPr>
      <w:r>
        <w:rPr/>
        <w:t xml:space="preserve">(3) A city that is subject to subsections (1) and (2) of this section that fails to comply with subsections (1) and (2) of this section by December 31, 2021, shall update the housing element of its comprehensive plan as required by RCW 36.70A.070.</w:t>
      </w:r>
    </w:p>
    <w:p>
      <w:pPr>
        <w:spacing w:before="0" w:after="0" w:line="408" w:lineRule="exact"/>
        <w:ind w:left="0" w:right="0" w:firstLine="576"/>
        <w:jc w:val="left"/>
      </w:pPr>
      <w:r>
        <w:rPr/>
        <w:t xml:space="preserve">(4) The actions taken by a city to comply with subsections (1) and (2) of this section are not subject to appeal under chapter 43.21C RCW.</w:t>
      </w:r>
    </w:p>
    <w:p>
      <w:pPr>
        <w:spacing w:before="0" w:after="0" w:line="408" w:lineRule="exact"/>
        <w:ind w:left="0" w:right="0" w:firstLine="576"/>
        <w:jc w:val="left"/>
      </w:pPr>
      <w:r>
        <w:rPr/>
        <w:t xml:space="preserve">(5)(a) A city that is subject to the requirements of subsections (1) and (2) of this section shall certify to the department once it has complied with the requirements of subsections (1) and (2) of this section.</w:t>
      </w:r>
    </w:p>
    <w:p>
      <w:pPr>
        <w:spacing w:before="0" w:after="0" w:line="408" w:lineRule="exact"/>
        <w:ind w:left="0" w:right="0" w:firstLine="576"/>
        <w:jc w:val="left"/>
      </w:pPr>
      <w:r>
        <w:rPr/>
        <w:t xml:space="preserve">(b) When the department receives a certification from a city pursuant to (a) of this subsection (5), the department shall take such investigative steps as are necessary to confirm the accuracy of the certification. Once the department has confirmed the accuracy of the certification, the department shall issue a letter verifying the city's compliance.</w:t>
      </w:r>
    </w:p>
    <w:p>
      <w:pPr>
        <w:spacing w:before="0" w:after="0" w:line="408" w:lineRule="exact"/>
        <w:ind w:left="0" w:right="0" w:firstLine="576"/>
        <w:jc w:val="left"/>
      </w:pPr>
      <w:r>
        <w:rPr/>
        <w:t xml:space="preserve">(c) A city who has received a letter of verification from the department is eligible to receive a one-time grant from the department of one hundred thousand dollars in order to support planning and outreach efforts.</w:t>
      </w:r>
    </w:p>
    <w:p>
      <w:pPr>
        <w:spacing w:before="0" w:after="0" w:line="408" w:lineRule="exact"/>
        <w:ind w:left="0" w:right="0" w:firstLine="576"/>
        <w:jc w:val="left"/>
      </w:pPr>
      <w:r>
        <w:rPr/>
        <w:t xml:space="preserve">(6) A city that is subject to the requirements of subsections (1) and (2) of this section that fails to comply with subsections (1) and (2) of this section by December 31, 2021, may not receive grants, loans, or any other form of funding from the following accounts until the city certifies to the department that the city has complied with subsections (1) and (2) of this section: The public works assistance account established in RCW 43.155.050; the water quality capital account created in RCW 70.146.100; or the transportation improvement account created in RCW 47.26.084.</w:t>
      </w:r>
    </w:p>
    <w:p>
      <w:pPr>
        <w:spacing w:before="0" w:after="0" w:line="408" w:lineRule="exact"/>
        <w:ind w:left="0" w:right="0" w:firstLine="576"/>
        <w:jc w:val="left"/>
      </w:pPr>
      <w:r>
        <w:rPr/>
        <w:t xml:space="preserve">(7) In meeting the requirements of subsections (1) and (2)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w:t>
      </w:r>
      <w:r>
        <w:rPr>
          <w:u w:val="single"/>
        </w:rPr>
        <w:t xml:space="preserve">(a)</w:t>
      </w:r>
      <w:r>
        <w:rPr/>
        <w:t xml:space="preserve"> A housing element ensuring the vitality and character of established residential neighborhoods that: </w:t>
      </w:r>
      <w:r>
        <w:t>((</w:t>
      </w:r>
      <w:r>
        <w:rPr>
          <w:strike/>
        </w:rPr>
        <w:t xml:space="preserve">(a)</w:t>
      </w:r>
      <w:r>
        <w:t>))</w:t>
      </w:r>
      <w:r>
        <w:rPr/>
        <w:t xml:space="preserve"> </w:t>
      </w:r>
      <w:r>
        <w:rPr>
          <w:u w:val="single"/>
        </w:rPr>
        <w:t xml:space="preserve">(i)</w:t>
      </w:r>
      <w:r>
        <w:rPr/>
        <w:t xml:space="preserve"> Includes an inventory and analysis of existing and projected housing needs that identifies the number of housing units necessary to manage projected growth </w:t>
      </w:r>
      <w:r>
        <w:rPr>
          <w:u w:val="single"/>
        </w:rPr>
        <w:t xml:space="preserve">and quantifies existing and projected housing needs for all income levels, including extremely low-income households, with documentation of housing and household characteristics, including housing stock condition, overcrowding, and comparison of level of payment with ability to pay</w:t>
      </w:r>
      <w:r>
        <w:rPr/>
        <w:t xml:space="preserve">; </w:t>
      </w:r>
      <w:r>
        <w:t>((</w:t>
      </w:r>
      <w:r>
        <w:rPr>
          <w:strike/>
        </w:rPr>
        <w:t xml:space="preserve">(b)</w:t>
      </w:r>
      <w:r>
        <w:t>))</w:t>
      </w:r>
      <w:r>
        <w:rPr/>
        <w:t xml:space="preserve"> </w:t>
      </w:r>
      <w:r>
        <w:rPr>
          <w:u w:val="single"/>
        </w:rPr>
        <w:t xml:space="preserve">(ii)</w:t>
      </w:r>
      <w:r>
        <w:rPr/>
        <w:t xml:space="preserve"> includes a statement of goals, policies, objectives, and mandatory provisions for the preservation, improvement, and development of housing, including single-family residences; </w:t>
      </w:r>
      <w:r>
        <w:t>((</w:t>
      </w:r>
      <w:r>
        <w:rPr>
          <w:strike/>
        </w:rPr>
        <w:t xml:space="preserve">(c)</w:t>
      </w:r>
      <w:r>
        <w:t>))</w:t>
      </w:r>
      <w:r>
        <w:rPr/>
        <w:t xml:space="preserve"> </w:t>
      </w:r>
      <w:r>
        <w:rPr>
          <w:u w:val="single"/>
        </w:rPr>
        <w:t xml:space="preserve">(iii) includes policies, regulations, and programs to conserve and preserve existing private market and subsidized affordable housing and existing manufactured home parks. In cities with populations of more than eighty thousand, the housing element must include policies, regulations, and programs to minimize displacement; (iv)</w:t>
      </w:r>
      <w:r>
        <w:rPr/>
        <w:t xml:space="preserve"> identifies sufficient land for housing, including, but not limited to, government-assisted housing, housing for low-income families, manufactured housing, multifamily housing, and group homes and foster care facilities</w:t>
      </w:r>
      <w:r>
        <w:rPr>
          <w:u w:val="single"/>
        </w:rPr>
        <w:t xml:space="preserve">. If the inventory in (a) of this subsection demonstrates a lack of sufficient sites to accommodate housing needs for extremely low-income, very low-income, and low-income households, the housing element must include a program to make sufficient sites available at multifamily densities available for development</w:t>
      </w:r>
      <w:r>
        <w:rPr/>
        <w:t xml:space="preserve">; </w:t>
      </w:r>
      <w:r>
        <w:t>((</w:t>
      </w:r>
      <w:r>
        <w:rPr>
          <w:strike/>
        </w:rPr>
        <w:t xml:space="preserve">and (d)</w:t>
      </w:r>
      <w:r>
        <w:t>))</w:t>
      </w:r>
      <w:r>
        <w:rPr/>
        <w:t xml:space="preserve"> </w:t>
      </w:r>
      <w:r>
        <w:rPr>
          <w:u w:val="single"/>
        </w:rPr>
        <w:t xml:space="preserve">(v)</w:t>
      </w:r>
      <w:r>
        <w:rPr/>
        <w:t xml:space="preserve"> makes adequate provisions for existing and projected needs of all economic segments of the community</w:t>
      </w:r>
      <w:r>
        <w:rPr>
          <w:u w:val="single"/>
        </w:rPr>
        <w:t xml:space="preserve">; (vi) analyzes population and employment trends, with documentation of projections; (vii) provides a zone where emergency shelters are permitted without a discretionary review process; (viii) includes an eight-year schedule of programs and actions to implement the policies of the housing element and to accommodate the planned housing units, including incentives and funding for affordable housing; and (ix) reviews and evaluates the previous housing element, including an evaluation of success in attaining planned housing units, achievement of goals and policies, and implementation of the schedule of programs and actions</w:t>
      </w:r>
      <w:r>
        <w:rPr/>
        <w:t xml:space="preserve">.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u w:val="single"/>
        </w:rPr>
        <w:t xml:space="preserve">(b) The department must review and, if compliant with the requirements of this subsection, approve the housing element of each planning jurisdiction after each periodic review required under RCW 36.70A.130.</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36.70A.030(16). Rural counties may also allow new small-scale businesses to utilize a site previously occupied by an existing business as long as the new small-scale business conforms to the rural character of the area as defined by the local government according to RCW 36.70A.030(16).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2017 3rd sp.s.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(9)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(10)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(11)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(12) "Minerals" include gravel, sand, and valuable metallic substances.</w:t>
      </w:r>
    </w:p>
    <w:p>
      <w:pPr>
        <w:spacing w:before="0" w:after="0" w:line="408" w:lineRule="exact"/>
        <w:ind w:left="0" w:right="0" w:firstLine="576"/>
        <w:jc w:val="left"/>
      </w:pPr>
      <w:r>
        <w:rPr/>
        <w:t xml:space="preserve">(13)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(14)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(15)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(16)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(17)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(18)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t xml:space="preserve">(20)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(21)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(22) "Urban growth areas" means those areas designated by a county pursuant to RCW 36.70A.110.</w:t>
      </w:r>
    </w:p>
    <w:p>
      <w:pPr>
        <w:spacing w:before="0" w:after="0" w:line="408" w:lineRule="exact"/>
        <w:ind w:left="0" w:right="0" w:firstLine="576"/>
        <w:jc w:val="left"/>
      </w:pPr>
      <w:r>
        <w:rPr/>
        <w:t xml:space="preserve">(23)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(24) "Affordable housing" means, unless the context clearly indicates otherwise, residential housing whose monthly costs, including utilities other than telephone, do not exceed thirty percent of the monthly income of a household whose income is sixty percent of the median family income adjusted for family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(25) "Extremely low-income household" means a single person, family, or unrelated persons living together whose adjusted income is at or below thirty percent of the median family income adjusted for family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(26) "Low-income household" means a single person, family, or unrelated persons living together whose adjusted income is at or below eighty percent of the median family income adjusted for family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(27) "Very low-income household" means a single person, family, or unrelated persons living together whose adjusted income is at or below fifty percent of the median family income adjusted for family size, for the county where the household is located, as reported by the United States department of housing and urban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450</w:t>
      </w:r>
      <w:r>
        <w:rPr/>
        <w:t xml:space="preserve"> and 2012 1st sp.s. c 1 s 307 are each amended to read as follows:</w:t>
      </w:r>
    </w:p>
    <w:p>
      <w:pPr>
        <w:spacing w:before="0" w:after="0" w:line="408" w:lineRule="exact"/>
        <w:ind w:left="0" w:right="0" w:firstLine="576"/>
        <w:jc w:val="left"/>
      </w:pPr>
      <w:r>
        <w:rPr/>
        <w:t xml:space="preserve">The following nonproject actions are categorically exempt from the requirements of this chapter:</w:t>
      </w:r>
    </w:p>
    <w:p>
      <w:pPr>
        <w:spacing w:before="0" w:after="0" w:line="408" w:lineRule="exact"/>
        <w:ind w:left="0" w:right="0" w:firstLine="576"/>
        <w:jc w:val="left"/>
      </w:pPr>
      <w:r>
        <w:rPr/>
        <w:t xml:space="preserve">(1) Amendments to development regulations that are required to ensure consistency with an adopted comprehensive plan pursuant to RCW 36.70A.040, where the comprehensive plan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(2) Amendments to development regulations that are required to ensure consistency with a shoreline master program approved pursuant to RCW 90.58.090, where the shoreline master program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(3) Amendments to development regulations that, upon implementation of a project action, will provide increased environmental protection, limited to the following:</w:t>
      </w:r>
    </w:p>
    <w:p>
      <w:pPr>
        <w:spacing w:before="0" w:after="0" w:line="408" w:lineRule="exact"/>
        <w:ind w:left="0" w:right="0" w:firstLine="576"/>
        <w:jc w:val="left"/>
      </w:pPr>
      <w:r>
        <w:rPr/>
        <w:t xml:space="preserve">(a) Increased protections for critical areas, such as enhanced buffers or setbacks;</w:t>
      </w:r>
    </w:p>
    <w:p>
      <w:pPr>
        <w:spacing w:before="0" w:after="0" w:line="408" w:lineRule="exact"/>
        <w:ind w:left="0" w:right="0" w:firstLine="576"/>
        <w:jc w:val="left"/>
      </w:pPr>
      <w:r>
        <w:rPr/>
        <w:t xml:space="preserve">(b) Increased vegetation retention or decreased impervious surface areas in shoreline jurisdiction; and</w:t>
      </w:r>
    </w:p>
    <w:p>
      <w:pPr>
        <w:spacing w:before="0" w:after="0" w:line="408" w:lineRule="exact"/>
        <w:ind w:left="0" w:right="0" w:firstLine="576"/>
        <w:jc w:val="left"/>
      </w:pPr>
      <w:r>
        <w:rPr/>
        <w:t xml:space="preserve">(c) Increased vegetation retention or decreased impervious surface areas in critical areas;</w:t>
      </w:r>
    </w:p>
    <w:p>
      <w:pPr>
        <w:spacing w:before="0" w:after="0" w:line="408" w:lineRule="exact"/>
        <w:ind w:left="0" w:right="0" w:firstLine="576"/>
        <w:jc w:val="left"/>
      </w:pPr>
      <w:r>
        <w:rPr/>
        <w:t xml:space="preserve">(4) Amendments to technical codes adopted by a county, city, or town to ensure consistency with minimum standards contained in state law, including the following:</w:t>
      </w:r>
    </w:p>
    <w:p>
      <w:pPr>
        <w:spacing w:before="0" w:after="0" w:line="408" w:lineRule="exact"/>
        <w:ind w:left="0" w:right="0" w:firstLine="576"/>
        <w:jc w:val="left"/>
      </w:pPr>
      <w:r>
        <w:rPr/>
        <w:t xml:space="preserve">(a) Building codes required by chapter 19.27 RCW;</w:t>
      </w:r>
    </w:p>
    <w:p>
      <w:pPr>
        <w:spacing w:before="0" w:after="0" w:line="408" w:lineRule="exact"/>
        <w:ind w:left="0" w:right="0" w:firstLine="576"/>
        <w:jc w:val="left"/>
      </w:pPr>
      <w:r>
        <w:rPr/>
        <w:t xml:space="preserve">(b) Energy codes required by chapter 19.27A RCW; and</w:t>
      </w:r>
    </w:p>
    <w:p>
      <w:pPr>
        <w:spacing w:before="0" w:after="0" w:line="408" w:lineRule="exact"/>
        <w:ind w:left="0" w:right="0" w:firstLine="576"/>
        <w:jc w:val="left"/>
      </w:pPr>
      <w:r>
        <w:rPr/>
        <w:t xml:space="preserve">(c) Electrical codes required by chapter 19.28 RCW</w:t>
      </w:r>
      <w:r>
        <w:rPr>
          <w:u w:val="single"/>
        </w:rPr>
        <w:t xml:space="preserve">;</w:t>
      </w:r>
    </w:p>
    <w:p>
      <w:pPr>
        <w:spacing w:before="0" w:after="0" w:line="408" w:lineRule="exact"/>
        <w:ind w:left="0" w:right="0" w:firstLine="576"/>
        <w:jc w:val="left"/>
      </w:pPr>
      <w:r>
        <w:rPr>
          <w:u w:val="single"/>
        </w:rPr>
        <w:t xml:space="preserve">(5) Amendments to development regulations in order to comply with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counties and cities planning under RCW 36.70A.040, minimum residential parking requirements mandated by municipal zoning ordinances are subject to the following requirements:</w:t>
      </w:r>
    </w:p>
    <w:p>
      <w:pPr>
        <w:spacing w:before="0" w:after="0" w:line="408" w:lineRule="exact"/>
        <w:ind w:left="0" w:right="0" w:firstLine="576"/>
        <w:jc w:val="left"/>
      </w:pPr>
      <w:r>
        <w:rPr/>
        <w:t xml:space="preserve">(1) For affordable housing units that are located within one-quarter mile of a transit stop that receives transit service at least four times per hour for twelve or more hours per day, minimum residential parking requirements may be no greater than one parking space per bedroom.</w:t>
      </w:r>
    </w:p>
    <w:p>
      <w:pPr>
        <w:spacing w:before="0" w:after="0" w:line="408" w:lineRule="exact"/>
        <w:ind w:left="0" w:right="0" w:firstLine="576"/>
        <w:jc w:val="left"/>
      </w:pPr>
      <w:r>
        <w:rPr/>
        <w:t xml:space="preserve">(2) For housing units that are specifically for seniors or people with disabilities, that are located within one-quarter mile of a transit stop that receives transit service at least four times per hour for twelve or more hours per day, no minimum residential parking requirement may be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070</w:t>
      </w:r>
      <w:r>
        <w:rPr/>
        <w:t xml:space="preserve"> and 2013 c 275 s 4 are each amended to read as follows:</w:t>
      </w:r>
    </w:p>
    <w:p>
      <w:pPr>
        <w:spacing w:before="0" w:after="0" w:line="408" w:lineRule="exact"/>
        <w:ind w:left="0" w:right="0" w:firstLine="576"/>
        <w:jc w:val="left"/>
      </w:pPr>
      <w:r>
        <w:rPr/>
        <w:t xml:space="preserve">(1) When making grants or loans for water pollution control facilities, the department shall consider the following:</w:t>
      </w:r>
    </w:p>
    <w:p>
      <w:pPr>
        <w:spacing w:before="0" w:after="0" w:line="408" w:lineRule="exact"/>
        <w:ind w:left="0" w:right="0" w:firstLine="576"/>
        <w:jc w:val="left"/>
      </w:pPr>
      <w:r>
        <w:rPr/>
        <w:t xml:space="preserve">(a) The protection of water quality and public health;</w:t>
      </w:r>
    </w:p>
    <w:p>
      <w:pPr>
        <w:spacing w:before="0" w:after="0" w:line="408" w:lineRule="exact"/>
        <w:ind w:left="0" w:right="0" w:firstLine="576"/>
        <w:jc w:val="left"/>
      </w:pPr>
      <w:r>
        <w:rPr/>
        <w:t xml:space="preserve">(b) The cost to residential ratepayers if they had to finance water pollution control facilities without state assistance;</w:t>
      </w:r>
    </w:p>
    <w:p>
      <w:pPr>
        <w:spacing w:before="0" w:after="0" w:line="408" w:lineRule="exact"/>
        <w:ind w:left="0" w:right="0" w:firstLine="576"/>
        <w:jc w:val="left"/>
      </w:pPr>
      <w:r>
        <w:rPr/>
        <w:t xml:space="preserve">(c) Actions required under federal and state permits and compliance orders;</w:t>
      </w:r>
    </w:p>
    <w:p>
      <w:pPr>
        <w:spacing w:before="0" w:after="0" w:line="408" w:lineRule="exact"/>
        <w:ind w:left="0" w:right="0" w:firstLine="576"/>
        <w:jc w:val="left"/>
      </w:pPr>
      <w:r>
        <w:rPr/>
        <w:t xml:space="preserve">(d) The level of local fiscal effort by residential ratepayers since 1972 in financing water pollution control facilities;</w:t>
      </w:r>
    </w:p>
    <w:p>
      <w:pPr>
        <w:spacing w:before="0" w:after="0" w:line="408" w:lineRule="exact"/>
        <w:ind w:left="0" w:right="0" w:firstLine="576"/>
        <w:jc w:val="left"/>
      </w:pPr>
      <w:r>
        <w:rPr/>
        <w:t xml:space="preserve">(e) Except as otherwise conditioned by RCW 70.146.110, whether the entity receiving assistance is a Puget Sound partner, as defined in RCW 90.71.010;</w:t>
      </w:r>
    </w:p>
    <w:p>
      <w:pPr>
        <w:spacing w:before="0" w:after="0" w:line="408" w:lineRule="exact"/>
        <w:ind w:left="0" w:right="0" w:firstLine="576"/>
        <w:jc w:val="left"/>
      </w:pPr>
      <w:r>
        <w:rPr/>
        <w:t xml:space="preserve">(f) Whether the project is referenced in the action agenda developed by the Puget Sound partnership under RCW 90.71.310;</w:t>
      </w:r>
    </w:p>
    <w:p>
      <w:pPr>
        <w:spacing w:before="0" w:after="0" w:line="408" w:lineRule="exact"/>
        <w:ind w:left="0" w:right="0" w:firstLine="576"/>
        <w:jc w:val="left"/>
      </w:pPr>
      <w:r>
        <w:rPr/>
        <w:t xml:space="preserve">(g) Except as otherwise provided in RCW 70.146.120, and effective one calendar year following the development and statewide availability of model evergreen community management plans and ordinances under RCW 35.105.050, whether the project is sponsored by an entity that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(h) The extent to which the applicant county or city, or if the applicant is another public body, the extent to which the county or city in which the applicant public body is located, has established programs to mitigate nonpoint pollution of the surface or subterranean water sought to be protected by the water pollution control facility named in the application for state assistance; and</w:t>
      </w:r>
    </w:p>
    <w:p>
      <w:pPr>
        <w:spacing w:before="0" w:after="0" w:line="408" w:lineRule="exact"/>
        <w:ind w:left="0" w:right="0" w:firstLine="576"/>
        <w:jc w:val="left"/>
      </w:pPr>
      <w:r>
        <w:rPr/>
        <w:t xml:space="preserve">(i) The recommendations of the Puget Sound partnership, created in RCW 90.71.210, and any other board, council, commission, or group established by the legislature or a state agency to study water pollution control issues in the state.</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a grant or loan for water pollution control facilities unless it has adopted a comprehensive plan, including a capital facilities plan element, and development regulations as required by RCW 36.70A.040. A county, city, or town that has adopted a comprehensive plan and development regulations as provided in RCW 36.70A.040 may request a grant or loan for water pollution control facilities. This subsection does not require any county, city, or town planning under RCW 36.70A.040 to adopt a comprehensive plan or development regulations before requesting a grant or loan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is not prohibited from receiving a grant or loan under this chapter if the comprehensive plan and development regulations are adopted as required by RCW 36.70A.040 before the department executes a contractual agreement for the grant or loan.</w:t>
      </w:r>
    </w:p>
    <w:p>
      <w:pPr>
        <w:spacing w:before="0" w:after="0" w:line="408" w:lineRule="exact"/>
        <w:ind w:left="0" w:right="0" w:firstLine="576"/>
        <w:jc w:val="left"/>
      </w:pPr>
      <w:r>
        <w:rPr/>
        <w:t xml:space="preserve">(3) Whenever the department is considering awarding grants or loans for public facilities to special districts requesting funding for a proposed facility located in a county, city, or town planning under RCW 36.70A.040, it shall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w:t>
      </w:r>
      <w:r>
        <w:rPr>
          <w:u w:val="single"/>
        </w:rPr>
        <w:t xml:space="preserve">The department may not award a grant or loan for a public facility located in a city subject to the requirements of section 1(1) and (2) of this act unless the city has certified to the department of commerce that it is in compliance with section 1(1) and (2) of this act, as appropriate.</w:t>
      </w:r>
    </w:p>
    <w:p>
      <w:pPr>
        <w:spacing w:before="0" w:after="0" w:line="408" w:lineRule="exact"/>
        <w:ind w:left="0" w:right="0" w:firstLine="576"/>
        <w:jc w:val="left"/>
      </w:pPr>
      <w:r>
        <w:rPr>
          <w:u w:val="single"/>
        </w:rPr>
        <w:t xml:space="preserve">(5)</w:t>
      </w:r>
      <w:r>
        <w:rPr/>
        <w:t xml:space="preserve"> After January 1, 2010, any project designed to address the effects of water pollution on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2017 3rd sp.s. c 10 s 9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w:t>
      </w:r>
      <w:r>
        <w:rPr>
          <w:u w:val="single"/>
        </w:rPr>
        <w:t xml:space="preserve">The board may not award financial assistance for a proposed facility located in a city subject to the requirements of section 1(1) and (2) of this act unless the city has certified to the department of commerce that it is in compliance with section 1(1) and (2) of this act, as appropriate, of this act.</w:t>
      </w:r>
    </w:p>
    <w:p>
      <w:pPr>
        <w:spacing w:before="0" w:after="0" w:line="408" w:lineRule="exact"/>
        <w:ind w:left="0" w:right="0" w:firstLine="576"/>
        <w:jc w:val="left"/>
      </w:pPr>
      <w:r>
        <w:rPr>
          <w:u w:val="single"/>
        </w:rPr>
        <w:t xml:space="preserve">(5)</w:t>
      </w:r>
      <w:r>
        <w:rPr/>
        <w:t xml:space="preserve">(a) The board must develop a process to prioritize applications and funding of loans and grants for public works projects submitted by local governments. The board must consider, at a minimum and in any order, the following factors in prioritizing projects:</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other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 as applicable;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and transportation; and</w:t>
      </w:r>
    </w:p>
    <w:p>
      <w:pPr>
        <w:spacing w:before="0" w:after="0" w:line="408" w:lineRule="exact"/>
        <w:ind w:left="0" w:right="0" w:firstLine="576"/>
        <w:jc w:val="left"/>
      </w:pPr>
      <w:r>
        <w:rPr/>
        <w:t xml:space="preserve">(G) Reduction of the overall cost of public infrastructure;</w:t>
      </w:r>
    </w:p>
    <w:p>
      <w:pPr>
        <w:spacing w:before="0" w:after="0" w:line="408" w:lineRule="exact"/>
        <w:ind w:left="0" w:right="0" w:firstLine="576"/>
        <w:jc w:val="left"/>
      </w:pPr>
      <w:r>
        <w:rPr/>
        <w:t xml:space="preserve">(xi) Whether the applicant sought or is seeking funding for the project from other sources; and</w:t>
      </w:r>
    </w:p>
    <w:p>
      <w:pPr>
        <w:spacing w:before="0" w:after="0" w:line="408" w:lineRule="exact"/>
        <w:ind w:left="0" w:right="0" w:firstLine="576"/>
        <w:jc w:val="left"/>
      </w:pPr>
      <w:r>
        <w:rPr/>
        <w:t xml:space="preserve">(xii) Other criteria that the board considers necessary to achieve the purposes of this chapter.</w:t>
      </w:r>
    </w:p>
    <w:p>
      <w:pPr>
        <w:spacing w:before="0" w:after="0" w:line="408" w:lineRule="exact"/>
        <w:ind w:left="0" w:right="0" w:firstLine="576"/>
        <w:jc w:val="left"/>
      </w:pPr>
      <w:r>
        <w:rPr/>
        <w:t xml:space="preserve">(b) Before September 1, 2018, and each year thereafter, the board must develop and submit a report regarding the construction loans and grants to the office of financial management and appropriate fiscal committees of the senate and house of representatives. The report must include:</w:t>
      </w:r>
    </w:p>
    <w:p>
      <w:pPr>
        <w:spacing w:before="0" w:after="0" w:line="408" w:lineRule="exact"/>
        <w:ind w:left="0" w:right="0" w:firstLine="576"/>
        <w:jc w:val="left"/>
      </w:pPr>
      <w:r>
        <w:rPr/>
        <w:t xml:space="preserve">(i) The total number of applications and amount of funding requested for public works projects;</w:t>
      </w:r>
    </w:p>
    <w:p>
      <w:pPr>
        <w:spacing w:before="0" w:after="0" w:line="408" w:lineRule="exact"/>
        <w:ind w:left="0" w:right="0" w:firstLine="576"/>
        <w:jc w:val="left"/>
      </w:pPr>
      <w:r>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t xml:space="preserve">(v) The total amount of loan repayments due for outstanding loans for each fiscal year over the following ten-year period; and</w:t>
      </w:r>
    </w:p>
    <w:p>
      <w:pPr>
        <w:spacing w:before="0" w:after="0" w:line="408" w:lineRule="exact"/>
        <w:ind w:left="0" w:right="0" w:firstLine="576"/>
        <w:jc w:val="left"/>
      </w:pPr>
      <w:r>
        <w:rPr/>
        <w:t xml:space="preserve">(vi) The total amount of funds obligated and timing of when the funds were obligated in the preceding fiscal year.</w:t>
      </w:r>
    </w:p>
    <w:p>
      <w:pPr>
        <w:spacing w:before="0" w:after="0" w:line="408" w:lineRule="exact"/>
        <w:ind w:left="0" w:right="0" w:firstLine="576"/>
        <w:jc w:val="left"/>
      </w:pPr>
      <w:r>
        <w:rPr/>
        <w:t xml:space="preserve">(c) The maximum amount of funding that the board may provide for any jurisdiction is ten million dollars per biennium.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Before September 1st of each year, the board must develop and submit to the appropriate fiscal committees of the senate and house of representatives a description of the loans and grants made under RCW 43.155.065 and 43.155.068.</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board may not sign contracts or otherwise financially obligate funds from the public works assistance account before the legislature has appropriated funds to the board for the purpose of funding public works projects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To qualify for loans, grants,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After January 1, 2010, any project designed to address the effects of stormwater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For projects involving repair, replacement, or improvement of a wastewater treatment plant or other public works facility for which an investment grade efficiency audit is reasonably obtainable, the public works board must require as a contract condition that the project sponsor undertake an investment grade efficiency audit. The project sponsor may finance the costs of the audit as part of its public works assistance account program loan or grant.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board must implement policies and procedures designed to maximize local government consideration of other funds to finance local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086</w:t>
      </w:r>
      <w:r>
        <w:rPr/>
        <w:t xml:space="preserve"> and 2011 c 120 s 7 are each amended to read as follows:</w:t>
      </w:r>
    </w:p>
    <w:p>
      <w:pPr>
        <w:spacing w:before="0" w:after="0" w:line="408" w:lineRule="exact"/>
        <w:ind w:left="0" w:right="0" w:firstLine="576"/>
        <w:jc w:val="left"/>
      </w:pPr>
      <w:r>
        <w:rPr/>
        <w:t xml:space="preserve">Transportation improvement account projects selected for funding programs after fiscal year 1995 are governed by the requirements of this section.</w:t>
      </w:r>
    </w:p>
    <w:p>
      <w:pPr>
        <w:spacing w:before="0" w:after="0" w:line="408" w:lineRule="exact"/>
        <w:ind w:left="0" w:right="0" w:firstLine="576"/>
        <w:jc w:val="left"/>
      </w:pPr>
      <w:r>
        <w:rPr/>
        <w:t xml:space="preserve">The board shall allocate funds from the account by June 30th of each year for the ensuing fiscal year to urban counties, cities with a population of five thousand and over, and to transportation benefit districts. Projects may include, but are not limited to, multiagency projects and arterial improvement projects in fast-growing areas. The board shall endeavor to provide geographical diversity in selecting improvement projects to be funded from the account.</w:t>
      </w:r>
    </w:p>
    <w:p>
      <w:pPr>
        <w:spacing w:before="0" w:after="0" w:line="408" w:lineRule="exact"/>
        <w:ind w:left="0" w:right="0" w:firstLine="576"/>
        <w:jc w:val="left"/>
      </w:pPr>
      <w:r>
        <w:rPr/>
        <w:t xml:space="preserve">To be eligible to receive these funds, a project must be consistent with the Growth Management Act, the Clean Air Act including conformity, and the Commute Trip Reduction Law and consideration must have been given to the project's relationship, both actual and potential, with the statewide rail passenger program and rapid mass transit. </w:t>
      </w:r>
      <w:r>
        <w:rPr>
          <w:u w:val="single"/>
        </w:rPr>
        <w:t xml:space="preserve">For a project located in a city that is subject to the requirements of section 1(1) and (2) of this act, the city must certify to the department of commerce that it is in compliance with section 1(1) and (2) of this act, as appropriate, in order for the project to be eligible to receive these funds.</w:t>
      </w:r>
      <w:r>
        <w:rPr/>
        <w:t xml:space="preserve"> Projects must be consistent with any adopted high capacity transportation plan, must consider existing or reasonably foreseeable congestion levels attributable to economic development or growth and all modes of transportation and safety, and must be partially funded by local government or private contributions, or a combination of such contributions. Priority consideration shall be given to those projects with the greatest percentage of local or private contribution, or both.</w:t>
      </w:r>
    </w:p>
    <w:p>
      <w:pPr>
        <w:spacing w:before="0" w:after="0" w:line="408" w:lineRule="exact"/>
        <w:ind w:left="0" w:right="0" w:firstLine="576"/>
        <w:jc w:val="left"/>
      </w:pPr>
      <w:r>
        <w:rPr/>
        <w:t xml:space="preserve">Within one year after board approval of an application for funding, the lead agency shall provide written certification to the board of the pledged local and private funding for the phase of the project approved. Funds allocated to an applicant that does not certify its funding within one year after approval may be reallocated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project action evaluated under this chapter by a city, town, or county planning under RCW 36.70A.040 is exempt from appeals under this chapter on the basis of the evaluation of or impacts to transportation elements of the environment, so long as the project does not present significant adverse impacts to state highways and the project is:</w:t>
      </w:r>
    </w:p>
    <w:p>
      <w:pPr>
        <w:spacing w:before="0" w:after="0" w:line="408" w:lineRule="exact"/>
        <w:ind w:left="0" w:right="0" w:firstLine="576"/>
        <w:jc w:val="left"/>
      </w:pPr>
      <w:r>
        <w:rPr/>
        <w:t xml:space="preserve">(a)(i) Consistent with a locally adopted transportation plan; or</w:t>
      </w:r>
    </w:p>
    <w:p>
      <w:pPr>
        <w:spacing w:before="0" w:after="0" w:line="408" w:lineRule="exact"/>
        <w:ind w:left="0" w:right="0" w:firstLine="576"/>
        <w:jc w:val="left"/>
      </w:pPr>
      <w:r>
        <w:rPr/>
        <w:t xml:space="preserve">(ii) Consistent with the transportation element of a comprehensive plan; and</w:t>
      </w:r>
    </w:p>
    <w:p>
      <w:pPr>
        <w:spacing w:before="0" w:after="0" w:line="408" w:lineRule="exact"/>
        <w:ind w:left="0" w:right="0" w:firstLine="576"/>
        <w:jc w:val="left"/>
      </w:pPr>
      <w:r>
        <w:rPr/>
        <w:t xml:space="preserve">(b)(i) A project for which traffic or parking impact fees are imposed pursuant to RCW 82.02.050 through 82.02.090; or</w:t>
      </w:r>
    </w:p>
    <w:p>
      <w:pPr>
        <w:spacing w:before="0" w:after="0" w:line="408" w:lineRule="exact"/>
        <w:ind w:left="0" w:right="0" w:firstLine="576"/>
        <w:jc w:val="left"/>
      </w:pPr>
      <w:r>
        <w:rPr/>
        <w:t xml:space="preserve">(ii) A project for which traffic or parking impacts are expressly mitigated by an ordinance, or ordinances, of general application adopted by the city, town, or county.</w:t>
      </w:r>
    </w:p>
    <w:p>
      <w:pPr>
        <w:spacing w:before="0" w:after="0" w:line="408" w:lineRule="exact"/>
        <w:ind w:left="0" w:right="0" w:firstLine="576"/>
        <w:jc w:val="left"/>
      </w:pPr>
      <w:r>
        <w:rPr/>
        <w:t xml:space="preserve">(2) For purposes of this section, "impacts to transportation elements of the environment" include impacts to transportation systems; vehicular traffic; waterborne, rail, and air traffic; parking; movement or circulation of people or goods; and traffic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420</w:t>
      </w:r>
      <w:r>
        <w:rPr/>
        <w:t xml:space="preserve"> and 2010 c 153 s 2 are each amended to read as follows:</w:t>
      </w:r>
    </w:p>
    <w:p>
      <w:pPr>
        <w:spacing w:before="0" w:after="0" w:line="408" w:lineRule="exact"/>
        <w:ind w:left="0" w:right="0" w:firstLine="576"/>
        <w:jc w:val="left"/>
      </w:pPr>
      <w:r>
        <w:rPr/>
        <w:t xml:space="preserve">(1) Cities with a population greater than five thousand, in accordance with their existing comprehensive planning and development regulation authority under chapter 36.70A RCW, and in accordance with this section, may adopt optional elements of their comprehensive plans and optional development regulations that apply within specified subareas of the cities, that are either:</w:t>
      </w:r>
    </w:p>
    <w:p>
      <w:pPr>
        <w:spacing w:before="0" w:after="0" w:line="408" w:lineRule="exact"/>
        <w:ind w:left="0" w:right="0" w:firstLine="576"/>
        <w:jc w:val="left"/>
      </w:pPr>
      <w:r>
        <w:rPr/>
        <w:t xml:space="preserve">(a) Areas designated as mixed-use or urban centers in a land use or transportation plan adopted by a regional transportation planning organization; or</w:t>
      </w:r>
    </w:p>
    <w:p>
      <w:pPr>
        <w:spacing w:before="0" w:after="0" w:line="408" w:lineRule="exact"/>
        <w:ind w:left="0" w:right="0" w:firstLine="576"/>
        <w:jc w:val="left"/>
      </w:pPr>
      <w:r>
        <w:rPr/>
        <w:t xml:space="preserve">(b) Areas within one-half mile of a major transit stop that are zoned to have an average minimum density of fifteen dwelling units or more per gross acre.</w:t>
      </w:r>
    </w:p>
    <w:p>
      <w:pPr>
        <w:spacing w:before="0" w:after="0" w:line="408" w:lineRule="exact"/>
        <w:ind w:left="0" w:right="0" w:firstLine="576"/>
        <w:jc w:val="left"/>
      </w:pPr>
      <w:r>
        <w:rPr/>
        <w:t xml:space="preserve">(2) Cities located on the east side of the Cascade mountains and located in a county with a population of two hundred thirty thousand or less, in accordance with their existing comprehensive planning and development regulation authority under chapter 36.70A RCW, and in accordance with this section, may adopt optional elements of their comprehensive plans and optional development regulations that apply within the mixed-use or urban centers. The optional elements of their comprehensive plans and optional development regulations must enhance pedestrian, bicycle, transit, or other nonvehicular transportation methods.</w:t>
      </w:r>
    </w:p>
    <w:p>
      <w:pPr>
        <w:spacing w:before="0" w:after="0" w:line="408" w:lineRule="exact"/>
        <w:ind w:left="0" w:right="0" w:firstLine="576"/>
        <w:jc w:val="left"/>
      </w:pPr>
      <w:r>
        <w:rPr/>
        <w:t xml:space="preserve">(3) A major transit stop is defined as:</w:t>
      </w:r>
    </w:p>
    <w:p>
      <w:pPr>
        <w:spacing w:before="0" w:after="0" w:line="408" w:lineRule="exact"/>
        <w:ind w:left="0" w:right="0" w:firstLine="576"/>
        <w:jc w:val="left"/>
      </w:pPr>
      <w:r>
        <w:rPr/>
        <w:t xml:space="preserve">(a) A stop on a high capacity transportation service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thirty minutes during the peak hours of operation.</w:t>
      </w:r>
    </w:p>
    <w:p>
      <w:pPr>
        <w:spacing w:before="0" w:after="0" w:line="408" w:lineRule="exact"/>
        <w:ind w:left="0" w:right="0" w:firstLine="576"/>
        <w:jc w:val="left"/>
      </w:pPr>
      <w:r>
        <w:rPr/>
        <w:t xml:space="preserve">(4)(a) A city that elects to adopt such an optional comprehensive plan element and optional development regulations shall prepare a nonproject environmental impact statement, pursuant to RCW 43.21C.030, assessing and disclosing the probable significant adverse environmental impacts of the optional comprehensive plan element and development regulations and of future development that is consistent with the plan and regulations.</w:t>
      </w:r>
    </w:p>
    <w:p>
      <w:pPr>
        <w:spacing w:before="0" w:after="0" w:line="408" w:lineRule="exact"/>
        <w:ind w:left="0" w:right="0" w:firstLine="576"/>
        <w:jc w:val="left"/>
      </w:pPr>
      <w:r>
        <w:rPr/>
        <w:t xml:space="preserve">(b) At least one community meeting must be held on the proposed subarea plan before the scoping notice for such a nonproject environmental impact statement is issued. Notice of scoping for such a nonproject environmental impact statement and notice of the community meeting required by this section must be mailed to all property owners of record within the subarea to be studied, to all property owners within one hundred fifty feet of the boundaries of such a subarea, to all affected federally recognized tribal governments whose ceded area is within one-half mile of the boundaries of the subarea, and to agencies with jurisdiction over the future development anticipated within the subarea.</w:t>
      </w:r>
    </w:p>
    <w:p>
      <w:pPr>
        <w:spacing w:before="0" w:after="0" w:line="408" w:lineRule="exact"/>
        <w:ind w:left="0" w:right="0" w:firstLine="576"/>
        <w:jc w:val="left"/>
      </w:pPr>
      <w:r>
        <w:rPr/>
        <w:t xml:space="preserve">(c) </w:t>
      </w:r>
      <w:r>
        <w:t>((</w:t>
      </w:r>
      <w:r>
        <w:rPr>
          <w:strike/>
        </w:rPr>
        <w:t xml:space="preserve">In cities with over five hundred thousand residents, notice of scoping for such a nonproject environmental impact statement and notice of the community meeting required by this section must be mailed to all small businesses as defined in RCW 19.85.020, and to all community preservation and development authorities established under chapter 43.167 RCW, located within the subarea to be studied or within one hundred fifty feet of the boundaries of such subarea. The process for community involvement must have the goal of fair treatment and meaningful involvement of all people with respect to the development and implementation of the subarea planning process.</w:t>
      </w:r>
    </w:p>
    <w:p>
      <w:pPr>
        <w:spacing w:before="0" w:after="0" w:line="408" w:lineRule="exact"/>
        <w:ind w:left="0" w:right="0" w:firstLine="576"/>
        <w:jc w:val="left"/>
      </w:pPr>
      <w:r>
        <w:rPr>
          <w:strike/>
        </w:rPr>
        <w:t xml:space="preserve">(d)</w:t>
      </w:r>
      <w:r>
        <w:t>))</w:t>
      </w:r>
      <w:r>
        <w:rPr/>
        <w:t xml:space="preserve"> The notice of the community meeting must include general illustrations and descriptions of buildings generally representative of the maximum building envelope that will be allowed under the proposed plan and indicate that future appeals of proposed developments that are consistent with the plan will be limited. Notice of the community meeting must include signs located on major travel routes in the subarea. If the building envelope increases during the process, another notice complying with the requirements of this section must be issued before the next public involvement opportunity.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Any person that has standing to appeal the adoption of this subarea plan or the implementing regulations under RCW 36.70A.280 has standing to bring an appeal of the nonproject environmental impact statement required by this subsection.</w:t>
      </w:r>
    </w:p>
    <w:p>
      <w:pPr>
        <w:spacing w:before="0" w:after="0" w:line="408" w:lineRule="exact"/>
        <w:ind w:left="0" w:right="0" w:firstLine="576"/>
        <w:jc w:val="left"/>
      </w:pPr>
      <w:r>
        <w:t>((</w:t>
      </w:r>
      <w:r>
        <w:rPr>
          <w:strike/>
        </w:rPr>
        <w:t xml:space="preserve">(f) Cities with over five hundred thousand residents shall prepare a study that accompanies or is appended to the nonproject environmental impact statement, but must not be part of that statement, that analyzes the extent to which the proposed subarea plan may result in the displacement or fragmentation of existing businesses, existing residents, including people living with poverty, families with children, and intergenerational households, or cultural groups within the proposed subarea plan. The city shall also discuss the results of the analysis at the community meeting.</w:t>
      </w:r>
    </w:p>
    <w:p>
      <w:pPr>
        <w:spacing w:before="0" w:after="0" w:line="408" w:lineRule="exact"/>
        <w:ind w:left="0" w:right="0" w:firstLine="576"/>
        <w:jc w:val="left"/>
      </w:pPr>
      <w:r>
        <w:rPr>
          <w:strike/>
        </w:rPr>
        <w:t xml:space="preserve">(g)</w:t>
      </w:r>
      <w:r>
        <w:t>))</w:t>
      </w:r>
      <w:r>
        <w:rPr/>
        <w:t xml:space="preserve"> </w:t>
      </w:r>
      <w:r>
        <w:rPr>
          <w:u w:val="single"/>
        </w:rPr>
        <w:t xml:space="preserve">(e)</w:t>
      </w:r>
      <w:r>
        <w:rPr/>
        <w:t xml:space="preserve"> As an incentive for development authorized under this section, a city shall consider establishing a transfer of development rights program in consultation with the county where the city is located, that conserves county-designated agricultural and forestland of long-term commercial significance. If the city decides not to establish a transfer of development rights program, the city must state in the record the reasons for not adopting the program. The city's decision not to establish a transfer of development rights program is not subject to appeal. Nothing in this subsection (4)</w:t>
      </w:r>
      <w:r>
        <w:t>((</w:t>
      </w:r>
      <w:r>
        <w:rPr>
          <w:strike/>
        </w:rPr>
        <w:t xml:space="preserve">(g)</w:t>
      </w:r>
      <w:r>
        <w:t>))</w:t>
      </w:r>
      <w:r>
        <w:rPr/>
        <w:t xml:space="preserve"> </w:t>
      </w:r>
      <w:r>
        <w:rPr>
          <w:u w:val="single"/>
        </w:rPr>
        <w:t xml:space="preserve">(e)</w:t>
      </w:r>
      <w:r>
        <w:rPr/>
        <w:t xml:space="preserve"> may be used as a basis to challenge the optional comprehensive plan or subarea plan policies authorized under this section.</w:t>
      </w:r>
    </w:p>
    <w:p>
      <w:pPr>
        <w:spacing w:before="0" w:after="0" w:line="408" w:lineRule="exact"/>
        <w:ind w:left="0" w:right="0" w:firstLine="576"/>
        <w:jc w:val="left"/>
      </w:pPr>
      <w:r>
        <w:rPr/>
        <w:t xml:space="preserve">(5)(a) Until July 1, </w:t>
      </w:r>
      <w:r>
        <w:t>((</w:t>
      </w:r>
      <w:r>
        <w:rPr>
          <w:strike/>
        </w:rPr>
        <w:t xml:space="preserve">2018</w:t>
      </w:r>
      <w:r>
        <w:t>))</w:t>
      </w:r>
      <w:r>
        <w:rPr/>
        <w:t xml:space="preserve"> </w:t>
      </w:r>
      <w:r>
        <w:rPr>
          <w:u w:val="single"/>
        </w:rPr>
        <w:t xml:space="preserve">2029</w:t>
      </w:r>
      <w:r>
        <w:rPr/>
        <w:t xml:space="preserve">, a proposed development that </w:t>
      </w:r>
      <w:r>
        <w:rPr>
          <w:u w:val="single"/>
        </w:rPr>
        <w:t xml:space="preserve">meets the criteria of (b) of this subsection 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the following time frames:</w:t>
      </w:r>
    </w:p>
    <w:p>
      <w:pPr>
        <w:spacing w:before="0" w:after="0" w:line="408" w:lineRule="exact"/>
        <w:ind w:left="0" w:right="0" w:firstLine="576"/>
        <w:jc w:val="left"/>
      </w:pPr>
      <w:r>
        <w:rPr>
          <w:u w:val="single"/>
        </w:rPr>
        <w:t xml:space="preserve">(i) Nineteen years from the date of issuance of the final environmental impact statement, for projects that are consistent with an optional element adopted by a city as of the effective date of this section; or</w:t>
      </w:r>
    </w:p>
    <w:p>
      <w:pPr>
        <w:spacing w:before="0" w:after="0" w:line="408" w:lineRule="exact"/>
        <w:ind w:left="0" w:right="0" w:firstLine="576"/>
        <w:jc w:val="left"/>
      </w:pPr>
      <w:r>
        <w:rPr>
          <w:u w:val="single"/>
        </w:rPr>
        <w:t xml:space="preserve">(ii) Ten years from the date of issuance of the final environmental impact statement, for projects that are consistent with an optional element adopted by a city after the effective date of this section.</w:t>
      </w:r>
    </w:p>
    <w:p>
      <w:pPr>
        <w:spacing w:before="0" w:after="0" w:line="408" w:lineRule="exact"/>
        <w:ind w:left="0" w:right="0" w:firstLine="576"/>
        <w:jc w:val="left"/>
      </w:pPr>
      <w:r>
        <w:rPr>
          <w:u w:val="single"/>
        </w:rPr>
        <w:t xml:space="preserve">(b) A proposed development may not be challenged, consistent with the timelines established in (a) of this subsection, so long as the development:</w:t>
      </w:r>
    </w:p>
    <w:p>
      <w:pPr>
        <w:spacing w:before="0" w:after="0" w:line="408" w:lineRule="exact"/>
        <w:ind w:left="0" w:right="0" w:firstLine="576"/>
        <w:jc w:val="left"/>
      </w:pPr>
      <w:r>
        <w:rPr>
          <w:u w:val="single"/>
        </w:rPr>
        <w:t xml:space="preserve">(i) I</w:t>
      </w:r>
      <w:r>
        <w:rPr/>
        <w:t xml:space="preserve">s consistent with the optional comprehensive plan or subarea plan policies and development regulations adopted under subsection (1) or (2) of this section</w:t>
      </w:r>
      <w:r>
        <w:rPr>
          <w:u w:val="single"/>
        </w:rPr>
        <w:t xml:space="preserve">;</w:t>
      </w:r>
    </w:p>
    <w:p>
      <w:pPr>
        <w:spacing w:before="0" w:after="0" w:line="408" w:lineRule="exact"/>
        <w:ind w:left="0" w:right="0" w:firstLine="576"/>
        <w:jc w:val="left"/>
      </w:pPr>
      <w:r>
        <w:rPr>
          <w:u w:val="single"/>
        </w:rPr>
        <w:t xml:space="preserve">(ii) Sets aside or requires the occupancy of at least ten percent of the dwelling units, or a greater percentage as determined by city development regulations, within the development for low-income households at a sale price or rental amount that is considered affordable by a city's housing programs. This subsection (5)(b)(ii) applies only to projects that are consistent with an optional element adopted by a city pursuant to this section after the effective date of this section;</w:t>
      </w:r>
      <w:r>
        <w:rPr/>
        <w:t xml:space="preserve"> and </w:t>
      </w:r>
      <w:r>
        <w:t>((</w:t>
      </w:r>
      <w:r>
        <w:rPr>
          <w:strike/>
        </w:rPr>
        <w:t xml:space="preserve">that</w:t>
      </w:r>
      <w:r>
        <w:t>))</w:t>
      </w:r>
    </w:p>
    <w:p>
      <w:pPr>
        <w:spacing w:before="0" w:after="0" w:line="408" w:lineRule="exact"/>
        <w:ind w:left="0" w:right="0" w:firstLine="576"/>
        <w:jc w:val="left"/>
      </w:pPr>
      <w:r>
        <w:rPr>
          <w:u w:val="single"/>
        </w:rPr>
        <w:t xml:space="preserve">(iii) I</w:t>
      </w:r>
      <w:r>
        <w:rPr/>
        <w:t xml:space="preserve">s environmentally reviewed under subsection (4) of this section </w:t>
      </w:r>
      <w:r>
        <w:t>((</w:t>
      </w:r>
      <w:r>
        <w:rPr>
          <w:strike/>
        </w:rPr>
        <w:t xml:space="preserve">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ten years from the date of issuance of the final environmental impact statement</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After July 1, </w:t>
      </w:r>
      <w:r>
        <w:t>((</w:t>
      </w:r>
      <w:r>
        <w:rPr>
          <w:strike/>
        </w:rPr>
        <w:t xml:space="preserve">2018</w:t>
      </w:r>
      <w:r>
        <w:t>))</w:t>
      </w:r>
      <w:r>
        <w:rPr/>
        <w:t xml:space="preserve"> </w:t>
      </w:r>
      <w:r>
        <w:rPr>
          <w:u w:val="single"/>
        </w:rPr>
        <w:t xml:space="preserve">2029</w:t>
      </w:r>
      <w:r>
        <w:rPr/>
        <w:t xml:space="preserve">, the immunity from appeals under this chapter of any application that vests or will vest under this subsection or the ability to vest under this subsection is still valid, provided that the final subarea environmental impact statement is issued by July 1, </w:t>
      </w:r>
      <w:r>
        <w:t>((</w:t>
      </w:r>
      <w:r>
        <w:rPr>
          <w:strike/>
        </w:rPr>
        <w:t xml:space="preserve">2018</w:t>
      </w:r>
      <w:r>
        <w:t>))</w:t>
      </w:r>
      <w:r>
        <w:rPr/>
        <w:t xml:space="preserve"> </w:t>
      </w:r>
      <w:r>
        <w:rPr>
          <w:u w:val="single"/>
        </w:rPr>
        <w:t xml:space="preserve">2029</w:t>
      </w:r>
      <w:r>
        <w:rPr/>
        <w:t xml:space="preserve">. After July 1, </w:t>
      </w:r>
      <w:r>
        <w:t>((</w:t>
      </w:r>
      <w:r>
        <w:rPr>
          <w:strike/>
        </w:rPr>
        <w:t xml:space="preserve">2018</w:t>
      </w:r>
      <w:r>
        <w:t>))</w:t>
      </w:r>
      <w:r>
        <w:rPr/>
        <w:t xml:space="preserve"> </w:t>
      </w:r>
      <w:r>
        <w:rPr>
          <w:u w:val="single"/>
        </w:rPr>
        <w:t xml:space="preserve">2029</w:t>
      </w:r>
      <w:r>
        <w:rPr/>
        <w:t xml:space="preserve">, a city may continue to collect reimbursement fees under subsection (6) of this section for the proportionate share of a subarea environmental impact statement issued prior to July 1, </w:t>
      </w:r>
      <w:r>
        <w:t>((</w:t>
      </w:r>
      <w:r>
        <w:rPr>
          <w:strike/>
        </w:rPr>
        <w:t xml:space="preserve">2018</w:t>
      </w:r>
      <w:r>
        <w:t>))</w:t>
      </w:r>
      <w:r>
        <w:rPr/>
        <w:t xml:space="preserve"> </w:t>
      </w:r>
      <w:r>
        <w:rPr>
          <w:u w:val="single"/>
        </w:rPr>
        <w:t xml:space="preserve">2029</w:t>
      </w:r>
      <w:r>
        <w:rPr/>
        <w:t xml:space="preserve">.</w:t>
      </w:r>
    </w:p>
    <w:p>
      <w:pPr>
        <w:spacing w:before="0" w:after="0" w:line="408" w:lineRule="exact"/>
        <w:ind w:left="0" w:right="0" w:firstLine="576"/>
        <w:jc w:val="left"/>
      </w:pPr>
      <w:r>
        <w:rPr/>
        <w:t xml:space="preserve">(6) It is recognized that a city that prepares a nonproject environmental impact statement under subsection (4) of this section must endure a substantial financial burden. A city may recover </w:t>
      </w:r>
      <w:r>
        <w:rPr>
          <w:u w:val="single"/>
        </w:rPr>
        <w:t xml:space="preserve">or apply for a grant or loan to prospectively cover</w:t>
      </w:r>
      <w:r>
        <w:rPr/>
        <w:t xml:space="preserve"> its reasonable expenses of preparation of a nonproject environmental impact statement prepared under subsection (4) of this section through access to financial assistance under RCW 36.70A.490 or funding from private sources. In addition, a city is authorized to recover a portion of its reasonable expenses of preparation of such a nonproject environmental impact statement by the assessment of reasonable and proportionate fees upon subsequent development that is consistent with the plan and development regulations adopted under subsection (5) of this section, as long as the development makes use of and benefits </w:t>
      </w:r>
      <w:r>
        <w:t>((</w:t>
      </w:r>
      <w:r>
        <w:rPr>
          <w:strike/>
        </w:rPr>
        <w:t xml:space="preserve">[from]</w:t>
      </w:r>
      <w:r>
        <w:t>))</w:t>
      </w:r>
      <w:r>
        <w:rPr/>
        <w:t xml:space="preserve"> </w:t>
      </w:r>
      <w:r>
        <w:rPr>
          <w:u w:val="single"/>
        </w:rPr>
        <w:t xml:space="preserve">from</w:t>
      </w:r>
      <w:r>
        <w:rPr/>
        <w:t xml:space="preserve">, as described in subsection (5) of this section, </w:t>
      </w:r>
      <w:r>
        <w:t>((</w:t>
      </w:r>
      <w:r>
        <w:rPr>
          <w:strike/>
        </w:rPr>
        <w:t xml:space="preserve">from</w:t>
      </w:r>
      <w:r>
        <w:t>))</w:t>
      </w:r>
      <w:r>
        <w:rPr/>
        <w:t xml:space="preserve"> the nonproject environmental impact statement prepared by the city. Any assessment fees collected from subsequent development may be used to reimburse funding received from private sources. In order to collect such fees, the city must enact an ordinance that sets forth objective standards for determining how the fees to be imposed upon each development will be proportionate to the impacts of each development and to the benefits accruing to each development from the nonproject environmental impact statement. Any disagreement about the reasonableness or amount of the fees imposed upon a development may not be the basis for delay in issuance of a project permit for that development. The fee assessed by the city may be paid with the written stipulation "paid under protest" and if the city provides for an administrative appeal of its decision on the project for which the fees are imposed, any dispute about the amount of the fees must be resolved in the same administrative appeal process.</w:t>
      </w:r>
    </w:p>
    <w:p>
      <w:pPr>
        <w:spacing w:before="0" w:after="0" w:line="408" w:lineRule="exact"/>
        <w:ind w:left="0" w:right="0" w:firstLine="576"/>
        <w:jc w:val="left"/>
      </w:pPr>
      <w:r>
        <w:rPr/>
        <w:t xml:space="preserve">(7) If a proposed development is inconsistent with the optional comprehensive plan or subarea plan policies and development regulations adopted under subsection (1) of this section, the city shall require additional environmental review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490</w:t>
      </w:r>
      <w:r>
        <w:rPr/>
        <w:t xml:space="preserve"> and 2012 1st sp.s. c 1 s 309 are each amended to read as follows:</w:t>
      </w:r>
    </w:p>
    <w:p>
      <w:pPr>
        <w:spacing w:before="0" w:after="0" w:line="408" w:lineRule="exact"/>
        <w:ind w:left="0" w:right="0" w:firstLine="576"/>
        <w:jc w:val="left"/>
      </w:pPr>
      <w:r>
        <w:rPr/>
        <w:t xml:space="preserve">The growth management planning and environmental review fund is hereby established in the state treasury. Moneys may be placed in the fund from the proceeds of bond sales, tax revenues, budget transfers, federal appropriations, gifts, or any other lawful source. Moneys in the fund may be spent only after appropriation. Moneys in the fund shall be used to make grants or loans to local governments for the purposes set forth in RCW 43.21C.240, 43.21C.031, or 36.70A.500</w:t>
      </w:r>
      <w:r>
        <w:rPr>
          <w:u w:val="single"/>
        </w:rPr>
        <w:t xml:space="preserve">, and to cover costs associated with the adoption of optional elements of comprehensive plans consistent with RCW 43.21C.420</w:t>
      </w:r>
      <w:r>
        <w:rPr/>
        <w:t xml:space="preserve">. Any payment of either principal or interest, or both, derived from loans made from this fund must be deposited into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Permanent supportive housing shall be a permitted use in all areas where multifamily housing is permitted.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 May provide an exemption from impact fees for low-income housing. Local governments that grant exemptions for low-income housing under this subsection (3)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An exemption for low-income housing granted under subsection (2) of this section or this subsection (3)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subsection (2) of this section or this subsection (3) for low-income housing may not collect revenue lost through granting an exemption by increasing impact fees unrelated to the exemption. A school district who receives school impact fees must approve any exemption under subsection (2) of this section or this subsection (3);</w:t>
      </w:r>
    </w:p>
    <w:p>
      <w:pPr>
        <w:spacing w:before="0" w:after="0" w:line="408" w:lineRule="exact"/>
        <w:ind w:left="0" w:right="0" w:firstLine="576"/>
        <w:jc w:val="left"/>
      </w:pPr>
      <w:r>
        <w:rPr/>
        <w:t xml:space="preserve">(4) </w:t>
      </w:r>
      <w:r>
        <w:rPr>
          <w:u w:val="single"/>
        </w:rPr>
        <w:t xml:space="preserve">May not charge a higher per unit fee for multifamily residential construction than for single-family residential construction;</w:t>
      </w:r>
    </w:p>
    <w:p>
      <w:pPr>
        <w:spacing w:before="0" w:after="0" w:line="408" w:lineRule="exact"/>
        <w:ind w:left="0" w:right="0" w:firstLine="576"/>
        <w:jc w:val="left"/>
      </w:pPr>
      <w:r>
        <w:rPr>
          <w:u w:val="single"/>
        </w:rPr>
        <w:t xml:space="preserve">(5)</w:t>
      </w:r>
      <w:r>
        <w:rPr/>
        <w:t xml:space="preserve">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Shall establish one or more reasonable service areas within which it shall calculate and impose impact fees for various land use categories per unit of development; and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
      <w:pPr>
        <w:jc w:val="center"/>
      </w:pPr>
      <w:r>
        <w:rPr>
          <w:b/>
        </w:rPr>
        <w:t>--- END ---</w:t>
      </w:r>
    </w:p>
    <w:sectPr>
      <w:pgNumType w:start="1"/>
      <w:footerReference xmlns:r="http://schemas.openxmlformats.org/officeDocument/2006/relationships" r:id="R0e572979e5cc47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19b0bfff984a48" /><Relationship Type="http://schemas.openxmlformats.org/officeDocument/2006/relationships/footer" Target="/word/footer1.xml" Id="R0e572979e5cc475a" /></Relationships>
</file>