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f52e407c948d2" /></Relationships>
</file>

<file path=word/document.xml><?xml version="1.0" encoding="utf-8"?>
<w:document xmlns:w="http://schemas.openxmlformats.org/wordprocessingml/2006/main">
  <w:body>
    <w:p>
      <w:r>
        <w:t>H-2203.1</w:t>
      </w:r>
    </w:p>
    <w:p>
      <w:pPr>
        <w:jc w:val="center"/>
      </w:pPr>
      <w:r>
        <w:t>_______________________________________________</w:t>
      </w:r>
    </w:p>
    <w:p/>
    <w:p>
      <w:pPr>
        <w:jc w:val="center"/>
      </w:pPr>
      <w:r>
        <w:rPr>
          <w:b/>
        </w:rPr>
        <w:t>SUBSTITUTE HOUSE BILL 2037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Sells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sergeants of the department of fish and wildlife interest arbitration under certain circumstances;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a fish and wildlife officer as defined in RCW 77.08.010 who holds the rank of sergeant.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Uniformed personnel shall not be excluded from coalition bargaining for a master agreement of all exclusive bargaining representatives of fewer than five hundred employees. However, the exclusive bargaining representative of uniformed personnel may, should it so choose, but not later than the first Monday in September of every odd-numbered year, choose to enter into separate bargaining with the employer regarding agency-specific issues limited to those specified in RCW 41.80.020 and be subject to the provisions set forth in sections 3 through 11 of this act. If the exclusive bargaining representative does not choose to enter into separate bargaining with the employer, sections 3 through 11 of this act do not apply. For purposes of this subsection, "agency-specific issues" includes but is not limited to rates of pay and other compensation.</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as a means of settling labor disputes; that the uninterrupted and dedicated service of uniformed personnel is vital to the welfare and public safety of the state of Washington; and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Negotiations between the employer and the exclusive bargaining representative of a unit of uniformed personnel shall be commenced at least five months before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must promptly meet with the representatives of the parties, either jointly or separately, and take such other steps as the mediator deems appropriate in order to persuade the parties to resolve their differences and effect an agreement. A mediator does not have a power of compulsion. The mediator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(1)(a)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w:t>
      </w:r>
    </w:p>
    <w:p>
      <w:pPr>
        <w:spacing w:before="0" w:after="0" w:line="408" w:lineRule="exact"/>
        <w:ind w:left="0" w:right="0" w:firstLine="576"/>
        <w:jc w:val="left"/>
      </w:pPr>
      <w:r>
        <w:rPr/>
        <w:t xml:space="preserve">(i)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w:t>
      </w:r>
    </w:p>
    <w:p>
      <w:pPr>
        <w:spacing w:before="0" w:after="0" w:line="408" w:lineRule="exact"/>
        <w:ind w:left="0" w:right="0" w:firstLine="576"/>
        <w:jc w:val="left"/>
      </w:pPr>
      <w:r>
        <w:rPr/>
        <w:t xml:space="preserve">(ii) Either party may apply to the commission, the federal mediation and conciliation service, or the American arbitration association to provide a list of five qualified arbitrators from which the neutral chair shall be chosen.</w:t>
      </w:r>
    </w:p>
    <w:p>
      <w:pPr>
        <w:spacing w:before="0" w:after="0" w:line="408" w:lineRule="exact"/>
        <w:ind w:left="0" w:right="0" w:firstLine="576"/>
        <w:jc w:val="left"/>
      </w:pPr>
      <w:r>
        <w:rPr/>
        <w:t xml:space="preserve">(b) Each party shall pay the fees and expenses of its arbitrator, and the fees and expenses of the neutral chair must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must be informal and each party must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must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must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must make written findings of fact and a written determination of the issues in dispute, based on the evidence presented. A copy thereof must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is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under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must be mindful of the legislative purpose enumerated in section 3 of this act and, as additional standards or guidelines to aid it in reaching a decision, must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(4) Changes in any of the factors listed in this subsection during the pendency of the proceedings; and</w:t>
      </w:r>
    </w:p>
    <w:p>
      <w:pPr>
        <w:spacing w:before="0" w:after="0" w:line="408" w:lineRule="exact"/>
        <w:ind w:left="0" w:right="0" w:firstLine="576"/>
        <w:jc w:val="left"/>
      </w:pPr>
      <w:r>
        <w:rPr/>
        <w:t xml:space="preserve">(5) Such other factors that are normally or traditionally taken into consideration in the determination of matters subject to bargaining under RCW 41.80.020(1).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the party's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refuses to submit to the procedures set forth in sections 4 and 5 of this act, the parties, or the commission on its own motion, may invoke the jurisdiction of the superior court for the county in which the labor dispute exists and the court shall have jurisdiction to issue an appropriate order. A failure to obey the order may be punished by the court as a contempt thereof.</w:t>
      </w:r>
    </w:p>
    <w:p>
      <w:pPr>
        <w:spacing w:before="0" w:after="0" w:line="408" w:lineRule="exact"/>
        <w:ind w:left="0" w:right="0" w:firstLine="576"/>
        <w:jc w:val="left"/>
      </w:pPr>
      <w:r>
        <w:rPr/>
        <w:t xml:space="preserve">(2) Except as provided in this subsection, a decision of the arbitration panel is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under this section and section 9 of this act, or willfully offers resistance to an order, whether by strike or otherwise, is in contempt of court as provided in chapter 7.21 RCW. An employer that willfully disobeys a lawful order of enforcement by a superior court under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under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
      <w:pPr>
        <w:jc w:val="center"/>
      </w:pPr>
      <w:r>
        <w:rPr>
          <w:b/>
        </w:rPr>
        <w:t>--- END ---</w:t>
      </w:r>
    </w:p>
    <w:sectPr>
      <w:pgNumType w:start="1"/>
      <w:footerReference xmlns:r="http://schemas.openxmlformats.org/officeDocument/2006/relationships" r:id="R5236c9084b0548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ab5e13d554f8c" /><Relationship Type="http://schemas.openxmlformats.org/officeDocument/2006/relationships/footer" Target="/word/footer1.xml" Id="R5236c9084b05488a" /></Relationships>
</file>