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e9fad7c0d4d44" /></Relationships>
</file>

<file path=word/document.xml><?xml version="1.0" encoding="utf-8"?>
<w:document xmlns:w="http://schemas.openxmlformats.org/wordprocessingml/2006/main">
  <w:body>
    <w:p>
      <w:r>
        <w:t>H-1179.5</w:t>
      </w:r>
    </w:p>
    <w:p>
      <w:pPr>
        <w:jc w:val="center"/>
      </w:pPr>
      <w:r>
        <w:t>_______________________________________________</w:t>
      </w:r>
    </w:p>
    <w:p/>
    <w:p>
      <w:pPr>
        <w:jc w:val="center"/>
      </w:pPr>
      <w:r>
        <w:rPr>
          <w:b/>
        </w:rPr>
        <w:t>HOUSE BILL 2042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Orcutt, Slatter, Doglio, Tharinger, and Ramos</w:t>
      </w:r>
    </w:p>
    <w:p/>
    <w:p>
      <w:r>
        <w:rPr>
          <w:t xml:space="preserve">Read first time 02/14/19.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46.17.323, 47.04.350, 80.28.360, 82.04.4496, 82.08.816, 82.12.816, 82.16.0496, 82.29A.125, and 82.44.200; adding a new section to chapter 35.92 RCW; adding a new section to chapter 54.16 RCW; adding a new section to chapter 80.28 RCW; adding a new section to chapter 82.08 RCW; adding a new section to chapter 82.12 RCW; adding a new section to chapter 47.04 RCW; adding a new section to chapter 47.66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electric vehicles and electric vehicle infrastructure by low-income residents of the state; (6) funding a study to examine opportunities to provide financing assistance to lower-income residents of the state who would like to purchase an electric vehicle; and (7) funding a study to assess the broad-based changes needed to effectively and efficiently transition the state to a low-carbon transportation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w:t>
      </w:r>
      <w:r>
        <w:rPr>
          <w:u w:val="single"/>
        </w:rPr>
        <w:t xml:space="preserve">in subsection (1) of this section</w:t>
      </w:r>
      <w:r>
        <w:rPr/>
        <w:t xml:space="preserv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w:t>
      </w:r>
      <w:r>
        <w:rPr>
          <w:u w:val="single"/>
        </w:rPr>
        <w:t xml:space="preserve">subsection (1) of</w:t>
      </w:r>
      <w:r>
        <w:rPr/>
        <w:t xml:space="preserve">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w:t>
      </w:r>
      <w:r>
        <w:t>((</w:t>
      </w:r>
      <w:r>
        <w:rPr>
          <w:strike/>
        </w:rPr>
        <w:t xml:space="preserve">fifty</w:t>
      </w:r>
      <w:r>
        <w:t>))</w:t>
      </w:r>
      <w:r>
        <w:rPr/>
        <w:t xml:space="preserve"> </w:t>
      </w:r>
      <w:r>
        <w:rPr>
          <w:u w:val="single"/>
        </w:rPr>
        <w:t xml:space="preserve">one hundred</w:t>
      </w:r>
      <w:r>
        <w:rPr/>
        <w:t xml:space="preserve"> dollar fee.</w:t>
      </w:r>
    </w:p>
    <w:p>
      <w:pPr>
        <w:spacing w:before="0" w:after="0" w:line="408" w:lineRule="exact"/>
        <w:ind w:left="0" w:right="0" w:firstLine="576"/>
        <w:jc w:val="left"/>
      </w:pPr>
      <w:r>
        <w:rPr/>
        <w:t xml:space="preserve">(b) The fee required under (a) of this subsection must be </w:t>
      </w:r>
      <w:r>
        <w:t>((</w:t>
      </w:r>
      <w:r>
        <w:rPr>
          <w:strike/>
        </w:rPr>
        <w:t xml:space="preserve">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w:t>
      </w:r>
      <w:r>
        <w:t>))</w:t>
      </w:r>
      <w:r>
        <w:rPr/>
        <w:t xml:space="preserve"> deposited into the </w:t>
      </w:r>
      <w:r>
        <w:t>((</w:t>
      </w:r>
      <w:r>
        <w:rPr>
          <w:strike/>
        </w:rPr>
        <w:t xml:space="preserve">motor vehicle fund</w:t>
      </w:r>
      <w:r>
        <w:t>))</w:t>
      </w:r>
      <w:r>
        <w:rPr/>
        <w:t xml:space="preserve"> </w:t>
      </w:r>
      <w:r>
        <w:rPr>
          <w:u w:val="single"/>
        </w:rPr>
        <w:t xml:space="preserve">electric vehicle account</w:t>
      </w:r>
      <w:r>
        <w:rPr/>
        <w:t xml:space="preserve"> created in RCW </w:t>
      </w:r>
      <w:r>
        <w:t>((</w:t>
      </w:r>
      <w:r>
        <w:rPr>
          <w:strike/>
        </w:rPr>
        <w:t xml:space="preserve">46.68.070</w:t>
      </w:r>
      <w:r>
        <w:t>))</w:t>
      </w:r>
      <w:r>
        <w:rPr/>
        <w:t xml:space="preserve"> </w:t>
      </w:r>
      <w:r>
        <w:rPr>
          <w:u w:val="single"/>
        </w:rPr>
        <w:t xml:space="preserve">82.44.200</w:t>
      </w:r>
      <w:r>
        <w:rPr/>
        <w:t xml:space="preserve">.</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is: Cost-effective, using an industry-recognized cost test which may include ratepayer impact measure or total resource cost.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cost-effectiveness determination in accordance with subsection (1) of this section, offer incentive programs in the electrification of transportation for its customers, including advertising programs to promote the utility's services, incentives, or rebates.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w:t>
      </w:r>
      <w:r>
        <w:rPr>
          <w:u w:val="single"/>
        </w:rPr>
        <w:t xml:space="preserve">, and may update these corridors over time as needed</w:t>
      </w:r>
      <w:r>
        <w:rPr/>
        <w:t xml:space="preserv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is: Cost-effective, using an industry-recognized cost test which may include ratepayer impact measure or total resource cost.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cost-effectiveness determination in accordance with subsection (1) of this section, offer incentive programs in the electrification of transportation for its customers, including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shall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 The commission shall acknowledge submittal of an electrification of transportation plan within four months of the submittal of the plan. The commission may provide comment on the plan in its acknowledgment letter.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w:t>
      </w:r>
      <w:r>
        <w:t>((</w:t>
      </w:r>
      <w:r>
        <w:rPr>
          <w:strike/>
        </w:rPr>
        <w:t xml:space="preserve">for the benefit of ratepayers</w:t>
      </w:r>
      <w:r>
        <w:t>))</w:t>
      </w:r>
      <w:r>
        <w:rPr/>
        <w:t xml:space="preserve"> </w:t>
      </w:r>
      <w:r>
        <w:rPr>
          <w:u w:val="single"/>
        </w:rPr>
        <w:t xml:space="preserve">consistent with an electrification of transportation plan submitted by a utility</w:t>
      </w:r>
      <w:r>
        <w:rPr/>
        <w:t xml:space="preserve">,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10 through 16, chapter . . ., Laws of 2019 (sections 10 through 16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and infrastructure and expanding it to include the electric battery component of electric buses; and (d) extending the leasehold excise tax exemption to tenants of public lands for electric vehicle infrastructure.</w:t>
      </w:r>
    </w:p>
    <w:p>
      <w:pPr>
        <w:spacing w:before="0" w:after="0" w:line="408" w:lineRule="exact"/>
        <w:ind w:left="0" w:right="0" w:firstLine="576"/>
        <w:jc w:val="left"/>
      </w:pPr>
      <w:r>
        <w:rPr/>
        <w:t xml:space="preserve">(3) To measure the effectiveness of the tax preferences in sections 10 through 16, chapter . . ., Laws of 2019 (sections 10 through 16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w:t>
      </w:r>
      <w:r>
        <w:t>((</w:t>
      </w:r>
      <w:r>
        <w:rPr>
          <w:strike/>
        </w:rPr>
        <w:t xml:space="preserve">, and subject to a maximum annual credit amount per vehicle class</w:t>
      </w:r>
      <w:r>
        <w:t>))</w:t>
      </w:r>
      <w:r>
        <w:rPr/>
        <w:t xml:space="preserv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Maximum Annual Credit</w:t>
            </w:r>
          </w:p>
          <w:p>
            <w:pPr>
              <w:spacing w:before="0" w:after="0" w:line="408" w:lineRule="exact"/>
              <w:ind w:left="0" w:right="0" w:firstLine="0"/>
              <w:jc w:val="center"/>
            </w:pPr>
            <w:r>
              <w:rPr>
                <w:rFonts w:ascii="Times New Roman" w:hAnsi="Times New Roman"/>
                <w:strike/>
                <w:sz w:val="20"/>
              </w:rPr>
              <w:t xml:space="preserve">Per Vehicle Class</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w:t>
      </w:r>
    </w:p>
    <w:p>
      <w:pPr>
        <w:spacing w:before="0" w:after="0" w:line="408" w:lineRule="exact"/>
        <w:ind w:left="0" w:right="0" w:firstLine="576"/>
        <w:jc w:val="left"/>
      </w:pPr>
      <w:r>
        <w:rPr/>
        <w:t xml:space="preserve">(b) </w:t>
      </w:r>
      <w:r>
        <w:t>((</w:t>
      </w:r>
      <w:r>
        <w:rPr>
          <w:strike/>
        </w:rPr>
        <w:t xml:space="preserve">On September 1st of each year any unused credits from any weight class identified in the table in (a) of this subsection must be made available to applicants applying for credits under any other weight class listed.</w:t>
      </w:r>
      <w:r>
        <w:t>))</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w:t>
      </w:r>
      <w:r>
        <w:t>((</w:t>
      </w:r>
      <w:r>
        <w:rPr>
          <w:strike/>
        </w:rPr>
        <w:t xml:space="preserve">, subject to the maximum annual credit per vehicle class in subsection (1)(a) of this section,</w:t>
      </w:r>
      <w:r>
        <w:t>))</w:t>
      </w:r>
      <w:r>
        <w:rPr/>
        <w:t xml:space="preserve">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The fixed points or regular route may be updated on a regular basis. "Auto transportation company" also includes "private, nonprofit transportation provider" as defined in RCW 81.66.010 and "charter party carrier" as defined in RCW 81.70.020.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through January 1, </w:t>
      </w:r>
      <w:r>
        <w:t>((</w:t>
      </w:r>
      <w:r>
        <w:rPr>
          <w:strike/>
        </w:rPr>
        <w:t xml:space="preserve">2021</w:t>
      </w:r>
      <w:r>
        <w:t>))</w:t>
      </w:r>
      <w:r>
        <w:rPr/>
        <w:t xml:space="preserve"> </w:t>
      </w:r>
      <w:r>
        <w:rPr>
          <w:u w:val="single"/>
        </w:rPr>
        <w:t xml:space="preserve">2030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2030</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Credits earned under this section may not be used after January 1, </w:t>
      </w:r>
      <w:r>
        <w:t>((</w:t>
      </w:r>
      <w:r>
        <w:rPr>
          <w:strike/>
        </w:rPr>
        <w:t xml:space="preserve">2022</w:t>
      </w:r>
      <w:r>
        <w:t>))</w:t>
      </w:r>
      <w:r>
        <w:rPr/>
        <w:t xml:space="preserve"> </w:t>
      </w:r>
      <w:r>
        <w:rPr>
          <w:u w:val="single"/>
        </w:rPr>
        <w:t xml:space="preserve">2031</w:t>
      </w:r>
      <w:r>
        <w:rPr/>
        <w:t xml:space="preserv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This section expires January 1, </w:t>
      </w:r>
      <w:r>
        <w:t>((</w:t>
      </w:r>
      <w:r>
        <w:rPr>
          <w:strike/>
        </w:rPr>
        <w:t xml:space="preserve">2022</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at the time of sale a lowest manufacturer's suggested retail price of forty-two thousand five hundred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forty-two thousand five hundred dollars or less, as determined by the department of licensing, for the base model;</w:t>
      </w:r>
    </w:p>
    <w:p>
      <w:pPr>
        <w:spacing w:before="0" w:after="0" w:line="408" w:lineRule="exact"/>
        <w:ind w:left="0" w:right="0" w:firstLine="576"/>
        <w:jc w:val="left"/>
      </w:pPr>
      <w:r>
        <w:rPr/>
        <w:t xml:space="preserve">(b)(i) The exemption in this section is applicable for up to the amounts specified in (b)(ii)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 The department of licensing must maintain and publish a list of all vehicle models qualifying for the sales tax exemption under this section and the use tax exemption under section 12 of this act until the expiration date of this section, and is authorized to issue final rulings on vehicle model qualification. A seller is not responsible for repayment of the tax exemption under this section and section 12 of this act for a vehicle if the department of licensing's published list of qualifying vehicle models on the purchase date or the date the lease agreement was signed includes the vehicle's base model and the department of licensing subsequently removes the vehicle's base model from the published list.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12 of this act by month of purchase or lease start and vehicle make and model; the dollar amount of all state retail sales and use taxes exempted on or after the qualification period start date, under this section and section 12 of this act; and estimates of the future costs of leased vehicles that qualified for the exemption under this section and section 12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"Base model" means the lowest priced version of the vehicle model for which the exemption under this section or section 12 of this act is sought that:</w:t>
      </w:r>
    </w:p>
    <w:p>
      <w:pPr>
        <w:spacing w:before="0" w:after="0" w:line="408" w:lineRule="exact"/>
        <w:ind w:left="0" w:right="0" w:firstLine="576"/>
        <w:jc w:val="left"/>
      </w:pPr>
      <w:r>
        <w:rPr/>
        <w:t xml:space="preserve">(i) Is the same model year as the vehicle for which the exemption under this section or section 12 of this act is sought;</w:t>
      </w:r>
    </w:p>
    <w:p>
      <w:pPr>
        <w:spacing w:before="0" w:after="0" w:line="408" w:lineRule="exact"/>
        <w:ind w:left="0" w:right="0" w:firstLine="576"/>
        <w:jc w:val="left"/>
      </w:pPr>
      <w:r>
        <w:rPr/>
        <w:t xml:space="preserve">(ii) Meets the same criteria of subsection (1)(a)(i) through (iii) of this section as the vehicle for which the exemption under this section or section 12 of this act is sought; and</w:t>
      </w:r>
    </w:p>
    <w:p>
      <w:pPr>
        <w:spacing w:before="0" w:after="0" w:line="408" w:lineRule="exact"/>
        <w:ind w:left="0" w:right="0" w:firstLine="576"/>
        <w:jc w:val="left"/>
      </w:pPr>
      <w:r>
        <w:rPr/>
        <w:t xml:space="preserve">(iii) Is available for retail sale or lease to consumers.</w:t>
      </w:r>
    </w:p>
    <w:p>
      <w:pPr>
        <w:spacing w:before="0" w:after="0" w:line="408" w:lineRule="exact"/>
        <w:ind w:left="0" w:right="0" w:firstLine="576"/>
        <w:jc w:val="left"/>
      </w:pPr>
      <w:r>
        <w:rPr/>
        <w:t xml:space="preserve">(b)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(c) "Qualification period end date" means August 1, 2025.</w:t>
      </w:r>
    </w:p>
    <w:p>
      <w:pPr>
        <w:spacing w:before="0" w:after="0" w:line="408" w:lineRule="exact"/>
        <w:ind w:left="0" w:right="0" w:firstLine="576"/>
        <w:jc w:val="left"/>
      </w:pPr>
      <w:r>
        <w:rPr/>
        <w:t xml:space="preserve">(d) "Qualification period start date" means the effective date of this section.</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at the time of sale a lowest manufacturer's suggested retail price of forty-two thousand five hundred dollars or less, as determined by the department of licensing, for the base model; or</w:t>
      </w:r>
    </w:p>
    <w:p>
      <w:pPr>
        <w:spacing w:before="0" w:after="0" w:line="408" w:lineRule="exact"/>
        <w:ind w:left="0" w:right="0" w:firstLine="576"/>
        <w:jc w:val="left"/>
      </w:pPr>
      <w:r>
        <w:rPr/>
        <w:t xml:space="preserve">(B) Have at the inception of the lease a lowest manufacturer's suggested retail price of forty-two thousand five hundred dollars or less, as determined by the department of licensing, for the base model;</w:t>
      </w:r>
    </w:p>
    <w:p>
      <w:pPr>
        <w:spacing w:before="0" w:after="0" w:line="408" w:lineRule="exact"/>
        <w:ind w:left="0" w:right="0" w:firstLine="576"/>
        <w:jc w:val="left"/>
      </w:pPr>
      <w:r>
        <w:rPr/>
        <w:t xml:space="preserve">(b)(i) The exemption in this section is only applicable for up to the amounts specified in (b)(ii)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(5) The definitions in section 11 of this act apply to this section.</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for electric vehicles</w:t>
      </w:r>
      <w:r>
        <w:rPr>
          <w:u w:val="single"/>
        </w:rPr>
        <w:t xml:space="preserve">, including batteries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w:t>
      </w:r>
    </w:p>
    <w:p>
      <w:pPr>
        <w:spacing w:before="0" w:after="0" w:line="408" w:lineRule="exact"/>
        <w:ind w:left="0" w:right="0" w:firstLine="576"/>
        <w:jc w:val="left"/>
      </w:pPr>
      <w:r>
        <w:rPr/>
        <w:t xml:space="preserve">(c) The sale of or charge made for labor and services rendered in respect to installing, constructing, repairing, or improving electric vehicle infrastructure;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electric vehicle infrastructure during the course of installing, constructing, repairing, or improving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certification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"Zero emissions bus" means a bus that emits no exhaust gas from the onboard source of power.</w:t>
      </w:r>
    </w:p>
    <w:p>
      <w:pPr>
        <w:spacing w:before="0" w:after="0" w:line="408" w:lineRule="exact"/>
        <w:ind w:left="0" w:right="0" w:firstLine="576"/>
        <w:jc w:val="left"/>
      </w:pPr>
      <w:r>
        <w:rPr/>
        <w:t xml:space="preserve">(4)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w:t>
      </w:r>
      <w:r>
        <w:rPr>
          <w:u w:val="single"/>
        </w:rPr>
        <w:t xml:space="preserve">, including batteries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t>((</w:t>
      </w:r>
      <w:r>
        <w:rPr>
          <w:strike/>
        </w:rPr>
        <w:t xml:space="preserve">and</w:t>
      </w:r>
      <w:r>
        <w:t>))</w:t>
      </w:r>
    </w:p>
    <w:p>
      <w:pPr>
        <w:spacing w:before="0" w:after="0" w:line="408" w:lineRule="exact"/>
        <w:ind w:left="0" w:right="0" w:firstLine="576"/>
        <w:jc w:val="left"/>
      </w:pPr>
      <w:r>
        <w:rPr/>
        <w:t xml:space="preserve">(c) Tangible personal property that will become a component of electric vehicle infrastructure during the course of installing, constructing, repairing, or improving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"Zero emissions bus" means a bus that emits no exhaust gas from the onboard source of power.</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w:t>
      </w:r>
      <w:r>
        <w:t>((</w:t>
      </w:r>
      <w:r>
        <w:rPr>
          <w:strike/>
        </w:rPr>
        <w:t xml:space="preserve">, and subject to a maximum annual credit amount per vehicle class</w:t>
      </w:r>
      <w:r>
        <w:t>))</w:t>
      </w:r>
      <w:r>
        <w:rPr/>
        <w:t xml:space="preserv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Maximum Annual Credit</w:t>
            </w:r>
          </w:p>
          <w:p>
            <w:pPr>
              <w:spacing w:before="0" w:after="0" w:line="408" w:lineRule="exact"/>
              <w:ind w:left="0" w:right="0" w:firstLine="0"/>
              <w:jc w:val="center"/>
            </w:pPr>
            <w:r>
              <w:rPr>
                <w:rFonts w:ascii="Times New Roman" w:hAnsi="Times New Roman"/>
                <w:strike/>
                <w:sz w:val="20"/>
              </w:rPr>
              <w:t xml:space="preserve">Per Vehicle Class</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w:t>
      </w:r>
    </w:p>
    <w:p>
      <w:pPr>
        <w:spacing w:before="0" w:after="0" w:line="408" w:lineRule="exact"/>
        <w:ind w:left="0" w:right="0" w:firstLine="576"/>
        <w:jc w:val="left"/>
      </w:pPr>
      <w:r>
        <w:rPr/>
        <w:t xml:space="preserve">(b) </w:t>
      </w:r>
      <w:r>
        <w:t>((</w:t>
      </w:r>
      <w:r>
        <w:rPr>
          <w:strike/>
        </w:rPr>
        <w:t xml:space="preserve">On September 1st of each year any unused credits from any weight class identified in the table in (a) of this subsection must be made available to applicants applying for credits under any other weight class listed.</w:t>
      </w:r>
      <w:r>
        <w:t>))</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w:t>
      </w:r>
      <w:r>
        <w:t>((</w:t>
      </w:r>
      <w:r>
        <w:rPr>
          <w:strike/>
        </w:rPr>
        <w:t xml:space="preserve">, subject to the maximum annual credit per vehicle class in subsection (1)(a) of this section,</w:t>
      </w:r>
      <w:r>
        <w:t>))</w:t>
      </w:r>
      <w:r>
        <w:rPr/>
        <w:t xml:space="preserve">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2030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 </w:t>
      </w:r>
      <w:r>
        <w:rPr>
          <w:u w:val="single"/>
        </w:rPr>
        <w:t xml:space="preserve">and sections 11 and 12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electric vehicle car sharing programs to provide electric vehicle use opportunities to underserved communities and low to moderate income members of the workforce not readily served by transit or located in transportation corridors with emissions that exceed federal or state emissions standards. Nonprofit organizations with a demonstrated history of managing or implementing low-income transportation electric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electric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electric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infrastructure, staff time, and any other expenses required to implement the project. No more than ten percent of grant funds may be used for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commerce must conduct a study to identify opportunities to reduce barriers to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electric vehicles that are eligible for the tax exemptions under sections 11 and 12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The department of commerce must provide a report detailing the findings of this study to the transportation committees of the legislature by December 1, 2019,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joint transportation committee shall produce a report that analyzes the policy, technology, and infrastructure changes necessary to transition Washington to a low-carbon transportation network in a manner that minimizes costs and maximizes benefits for Washington's economy, improves and modernizes Washington's energy infrastructure, and maintains electric system reliability. The report must be directed at achieving carbon emission reductions in the transportation sector consistent with a state economy-wide reduction target of eighty percent below 1990 carbon emission levels, and must analyze the changes necessary to transition Washington's transportation network in order to meet the following:</w:t>
      </w:r>
    </w:p>
    <w:p>
      <w:pPr>
        <w:spacing w:before="0" w:after="0" w:line="408" w:lineRule="exact"/>
        <w:ind w:left="0" w:right="0" w:firstLine="576"/>
        <w:jc w:val="left"/>
      </w:pPr>
      <w:r>
        <w:rPr/>
        <w:t xml:space="preserve">(a) All privately owned passenger and light duty vehicles of model year 2035 or later sold or registered in Washington state be zero emission vehicles;</w:t>
      </w:r>
    </w:p>
    <w:p>
      <w:pPr>
        <w:spacing w:before="0" w:after="0" w:line="408" w:lineRule="exact"/>
        <w:ind w:left="0" w:right="0" w:firstLine="576"/>
        <w:jc w:val="left"/>
      </w:pPr>
      <w:r>
        <w:rPr/>
        <w:t xml:space="preserve">(b) All vehicles of model year 2025 or later operated by agencies or local government subdivisions of the state of Washington be zero emission vehicles, or other vehicles that use nonfossil alternative fuels when zero emission vehicles are impracticable;</w:t>
      </w:r>
    </w:p>
    <w:p>
      <w:pPr>
        <w:spacing w:before="0" w:after="0" w:line="408" w:lineRule="exact"/>
        <w:ind w:left="0" w:right="0" w:firstLine="576"/>
        <w:jc w:val="left"/>
      </w:pPr>
      <w:r>
        <w:rPr/>
        <w:t xml:space="preserve">(c) Public transit vehicle fleets be zero emission by 2040; and</w:t>
      </w:r>
    </w:p>
    <w:p>
      <w:pPr>
        <w:spacing w:before="0" w:after="0" w:line="408" w:lineRule="exact"/>
        <w:ind w:left="0" w:right="0" w:firstLine="576"/>
        <w:jc w:val="left"/>
      </w:pPr>
      <w:r>
        <w:rPr/>
        <w:t xml:space="preserve">(d) Short-haul air travel, rail, freight vehicles, and long distance transit rely on nonfossil alternative fuels by 2040.</w:t>
      </w:r>
    </w:p>
    <w:p>
      <w:pPr>
        <w:spacing w:before="0" w:after="0" w:line="408" w:lineRule="exact"/>
        <w:ind w:left="0" w:right="0" w:firstLine="576"/>
        <w:jc w:val="left"/>
      </w:pPr>
      <w:r>
        <w:rPr/>
        <w:t xml:space="preserve">(2) The report must include, at a minimum, the following elements:</w:t>
      </w:r>
    </w:p>
    <w:p>
      <w:pPr>
        <w:spacing w:before="0" w:after="0" w:line="408" w:lineRule="exact"/>
        <w:ind w:left="0" w:right="0" w:firstLine="576"/>
        <w:jc w:val="left"/>
      </w:pPr>
      <w:r>
        <w:rPr/>
        <w:t xml:space="preserve">(a) An analysis of reduction pathways to achieve the emission reduction target identified in subsection (1) of this section. The analysis should evaluate a number of strategies, including increased utilization of public transportation, transition of fleets and personal vehicles to zero emission vehicles, and other strategies designed to reduce vehicle miles traveled. This analysis shall seek to minimize costs and maximize benefits, especially to low-income and vulnerable communities;</w:t>
      </w:r>
    </w:p>
    <w:p>
      <w:pPr>
        <w:spacing w:before="0" w:after="0" w:line="408" w:lineRule="exact"/>
        <w:ind w:left="0" w:right="0" w:firstLine="576"/>
        <w:jc w:val="left"/>
      </w:pPr>
      <w:r>
        <w:rPr/>
        <w:t xml:space="preserve">(b) Predicted number, type, year of installation, and geographic distribution of fueling stations needed to support the adoption of zero emission vehicles, and the predicted yearly investments needed to construct such fueling stations;</w:t>
      </w:r>
    </w:p>
    <w:p>
      <w:pPr>
        <w:spacing w:before="0" w:after="0" w:line="408" w:lineRule="exact"/>
        <w:ind w:left="0" w:right="0" w:firstLine="576"/>
        <w:jc w:val="left"/>
      </w:pPr>
      <w:r>
        <w:rPr/>
        <w:t xml:space="preserve">(c) An analysis of the generation, transmission, and distribution upgrades and infrastructure buildout needed to support widespread adoption of zero emission vehicles, and an analysis of the investment required to implement such upgrades;</w:t>
      </w:r>
    </w:p>
    <w:p>
      <w:pPr>
        <w:spacing w:before="0" w:after="0" w:line="408" w:lineRule="exact"/>
        <w:ind w:left="0" w:right="0" w:firstLine="576"/>
        <w:jc w:val="left"/>
      </w:pPr>
      <w:r>
        <w:rPr/>
        <w:t xml:space="preserve">(d) An analysis of the strategies utilities may employ to achieve transportation electrification goals at the lowest reasonable cost, especially to low-income customers, including but not limited to: Upgrades to electrical transmission and distribution systems, programs, incentives, and investments, and changes to rate design that are necessary to meet the emission reduction target identified in subsection (1) of this section;</w:t>
      </w:r>
    </w:p>
    <w:p>
      <w:pPr>
        <w:spacing w:before="0" w:after="0" w:line="408" w:lineRule="exact"/>
        <w:ind w:left="0" w:right="0" w:firstLine="576"/>
        <w:jc w:val="left"/>
      </w:pPr>
      <w:r>
        <w:rPr/>
        <w:t xml:space="preserve">(e) An estimate of the cost differential between the purchase price of new zero emission and internal combustion engine vehicles over the next thirty years;</w:t>
      </w:r>
    </w:p>
    <w:p>
      <w:pPr>
        <w:spacing w:before="0" w:after="0" w:line="408" w:lineRule="exact"/>
        <w:ind w:left="0" w:right="0" w:firstLine="576"/>
        <w:jc w:val="left"/>
      </w:pPr>
      <w:r>
        <w:rPr/>
        <w:t xml:space="preserve">(f) An analysis of the predicted lifetime cost of ownership of zero emission vehicles compared to internal combustion engine vehicles;</w:t>
      </w:r>
    </w:p>
    <w:p>
      <w:pPr>
        <w:spacing w:before="0" w:after="0" w:line="408" w:lineRule="exact"/>
        <w:ind w:left="0" w:right="0" w:firstLine="576"/>
        <w:jc w:val="left"/>
      </w:pPr>
      <w:r>
        <w:rPr/>
        <w:t xml:space="preserve">(g) An analysis of the effect of widespread adoption of zero emission vehicles on state transportation revenues, and recommendations as to alternative sources of revenues to replace fuel tax revenues;</w:t>
      </w:r>
    </w:p>
    <w:p>
      <w:pPr>
        <w:spacing w:before="0" w:after="0" w:line="408" w:lineRule="exact"/>
        <w:ind w:left="0" w:right="0" w:firstLine="576"/>
        <w:jc w:val="left"/>
      </w:pPr>
      <w:r>
        <w:rPr/>
        <w:t xml:space="preserve">(h) Predicted yearly change in gasoline and diesel sales in the state as a result of widespread adoption of zero emission vehicles;</w:t>
      </w:r>
    </w:p>
    <w:p>
      <w:pPr>
        <w:spacing w:before="0" w:after="0" w:line="408" w:lineRule="exact"/>
        <w:ind w:left="0" w:right="0" w:firstLine="576"/>
        <w:jc w:val="left"/>
      </w:pPr>
      <w:r>
        <w:rPr/>
        <w:t xml:space="preserve">(i) An analysis of the impacts of widespread adoption of zero emission vehicles for low-income persons, and strategies for maximizing equity during the transition to widespread adoption of zero emission vehicles;</w:t>
      </w:r>
    </w:p>
    <w:p>
      <w:pPr>
        <w:spacing w:before="0" w:after="0" w:line="408" w:lineRule="exact"/>
        <w:ind w:left="0" w:right="0" w:firstLine="576"/>
        <w:jc w:val="left"/>
      </w:pPr>
      <w:r>
        <w:rPr/>
        <w:t xml:space="preserve">(j) An analysis of the impact on Washington's air quality, including change in greenhouse gas emissions, as a result of the widespread adoption of zero emission vehicles, with a particular focus on areas that are designated by the federal government as nonattainment or maintenance areas under the federal clean air act, or by the department of ecology as being at risk of nonattainment;</w:t>
      </w:r>
    </w:p>
    <w:p>
      <w:pPr>
        <w:spacing w:before="0" w:after="0" w:line="408" w:lineRule="exact"/>
        <w:ind w:left="0" w:right="0" w:firstLine="576"/>
        <w:jc w:val="left"/>
      </w:pPr>
      <w:r>
        <w:rPr/>
        <w:t xml:space="preserve">(k) An analysis of the potential costs and potential economic and noneconomic benefits to Washington's economy as a result of widespread adoption of zero emission vehicles, using the best available scientific and economic models. This analysis must include impacts on health, air pollution, and greenhouse gas emissions and the associated costs and economic benefits;</w:t>
      </w:r>
    </w:p>
    <w:p>
      <w:pPr>
        <w:spacing w:before="0" w:after="0" w:line="408" w:lineRule="exact"/>
        <w:ind w:left="0" w:right="0" w:firstLine="576"/>
        <w:jc w:val="left"/>
      </w:pPr>
      <w:r>
        <w:rPr/>
        <w:t xml:space="preserve">(l) An analysis of the potential modifications and additions to the current state commute trip reduction including, but not limited to, changes to the size of vanpools, definitions of a commute trip, commute trip times, first and last mile options, and eligibility size for entities participating in the program; and</w:t>
      </w:r>
    </w:p>
    <w:p>
      <w:pPr>
        <w:spacing w:before="0" w:after="0" w:line="408" w:lineRule="exact"/>
        <w:ind w:left="0" w:right="0" w:firstLine="576"/>
        <w:jc w:val="left"/>
      </w:pPr>
      <w:r>
        <w:rPr/>
        <w:t xml:space="preserve">(m) An analysis of the generation, transmission, and distribution upgrades and infrastructure buildouts needed by each public transit agency in order for all public transit vehicle fleets to be zero emission by 2040.</w:t>
      </w:r>
    </w:p>
    <w:p>
      <w:pPr>
        <w:spacing w:before="0" w:after="0" w:line="408" w:lineRule="exact"/>
        <w:ind w:left="0" w:right="0" w:firstLine="576"/>
        <w:jc w:val="left"/>
      </w:pPr>
      <w:r>
        <w:rPr/>
        <w:t xml:space="preserve">(3) The report must outline scenarios that will achieve the requirements and goals listed in subsection (1) of this section that include iterations of the following:</w:t>
      </w:r>
    </w:p>
    <w:p>
      <w:pPr>
        <w:spacing w:before="0" w:after="0" w:line="408" w:lineRule="exact"/>
        <w:ind w:left="0" w:right="0" w:firstLine="576"/>
        <w:jc w:val="left"/>
      </w:pPr>
      <w:r>
        <w:rPr/>
        <w:t xml:space="preserve">(a) Technology adoption benchmarks based on slower and more rapid time frames;</w:t>
      </w:r>
    </w:p>
    <w:p>
      <w:pPr>
        <w:spacing w:before="0" w:after="0" w:line="408" w:lineRule="exact"/>
        <w:ind w:left="0" w:right="0" w:firstLine="576"/>
        <w:jc w:val="left"/>
      </w:pPr>
      <w:r>
        <w:rPr/>
        <w:t xml:space="preserve">(b) Compliance scenarios that include increased public transportation utilization, multimodal transportation options, and reduced vehicle miles traveled; and</w:t>
      </w:r>
    </w:p>
    <w:p>
      <w:pPr>
        <w:spacing w:before="0" w:after="0" w:line="408" w:lineRule="exact"/>
        <w:ind w:left="0" w:right="0" w:firstLine="576"/>
        <w:jc w:val="left"/>
      </w:pPr>
      <w:r>
        <w:rPr/>
        <w:t xml:space="preserve">(c) Revenue and spending analysis associated with the different scenarios based on benchmarking and different transportation options.</w:t>
      </w:r>
    </w:p>
    <w:p>
      <w:pPr>
        <w:spacing w:before="0" w:after="0" w:line="408" w:lineRule="exact"/>
        <w:ind w:left="0" w:right="0" w:firstLine="576"/>
        <w:jc w:val="left"/>
      </w:pPr>
      <w:r>
        <w:rPr/>
        <w:t xml:space="preserve">(4) In producing the report, the joint transportation committee shall:</w:t>
      </w:r>
    </w:p>
    <w:p>
      <w:pPr>
        <w:spacing w:before="0" w:after="0" w:line="408" w:lineRule="exact"/>
        <w:ind w:left="0" w:right="0" w:firstLine="576"/>
        <w:jc w:val="left"/>
      </w:pPr>
      <w:r>
        <w:rPr/>
        <w:t xml:space="preserve">(a) Consult with, at a minimum, the department of commerce, the department of ecology, the department of transportation, and the utilities and transportation commission;</w:t>
      </w:r>
    </w:p>
    <w:p>
      <w:pPr>
        <w:spacing w:before="0" w:after="0" w:line="408" w:lineRule="exact"/>
        <w:ind w:left="0" w:right="0" w:firstLine="576"/>
        <w:jc w:val="left"/>
      </w:pPr>
      <w:r>
        <w:rPr/>
        <w:t xml:space="preserve">(b) Conduct a series of public workshops to give interested parties an opportunity to comment on the report, especially including disadvantaged and low-income communities, and communities of color;</w:t>
      </w:r>
    </w:p>
    <w:p>
      <w:pPr>
        <w:spacing w:before="0" w:after="0" w:line="408" w:lineRule="exact"/>
        <w:ind w:left="0" w:right="0" w:firstLine="576"/>
        <w:jc w:val="left"/>
      </w:pPr>
      <w:r>
        <w:rPr/>
        <w:t xml:space="preserve">(c) Convene an advisory committee, of at least nine members, to advise it in developing the report. The advisory committee must be composed of representatives from communities in the state who would experience the greatest benefits or disadvantages from widespread adoption of electric and zero emission vehicles including, but not limited to, communities of color and low-income communities;</w:t>
      </w:r>
    </w:p>
    <w:p>
      <w:pPr>
        <w:spacing w:before="0" w:after="0" w:line="408" w:lineRule="exact"/>
        <w:ind w:left="0" w:right="0" w:firstLine="576"/>
        <w:jc w:val="left"/>
      </w:pPr>
      <w:r>
        <w:rPr/>
        <w:t xml:space="preserve">(d) Appoint an economic and technology advancement advisory committee to advise the joint transportation committee on activities that will facilitate investment in and implementation of technological research and development opportunities including, but not limited to, identifying new technology research, demonstration projects, funding opportunities, developing state, national, and international partnerships and technology transfer opportunities, and identifying and assessing research and advanced technology investment and incentive opportunities that will assist in moving away from internal combustion engine vehicles and toward zero emission vehicles. The advisory committee may also advise the joint transportation committee on state, regional, national, and international economic and technological developments related to zero emission vehicles; and</w:t>
      </w:r>
    </w:p>
    <w:p>
      <w:pPr>
        <w:spacing w:before="0" w:after="0" w:line="408" w:lineRule="exact"/>
        <w:ind w:left="0" w:right="0" w:firstLine="576"/>
        <w:jc w:val="left"/>
      </w:pPr>
      <w:r>
        <w:rPr/>
        <w:t xml:space="preserve">(e) Consult with other states, the federal government, and other nations to identify the most effective strategies and methods to provide adequate fueling infrastructure and meet other needs created by the widespread adoption of zero emission vehicles.</w:t>
      </w:r>
    </w:p>
    <w:p>
      <w:pPr>
        <w:spacing w:before="0" w:after="0" w:line="408" w:lineRule="exact"/>
        <w:ind w:left="0" w:right="0" w:firstLine="576"/>
        <w:jc w:val="left"/>
      </w:pPr>
      <w:r>
        <w:rPr/>
        <w:t xml:space="preserve">(5) The joint transportation committee shall submit the report, in accordance with RCW 43.01.036, to the standing committees of the house of representatives and senate with jurisdiction over energy, the environment, and transportation, by January 1, 2021.</w:t>
      </w:r>
    </w:p>
    <w:p>
      <w:pPr>
        <w:spacing w:before="0" w:after="0" w:line="408" w:lineRule="exact"/>
        <w:ind w:left="0" w:right="0" w:firstLine="576"/>
        <w:jc w:val="left"/>
      </w:pPr>
      <w:r>
        <w:rPr/>
        <w:t xml:space="preserve">(6) For the purposes of this section, "zero emission vehicle" means a vehicle that emits no exhaust, including no greenhouse gases, from the onboard source of power. This definition includes, but is not limited to, electric vehicles and hydrogen fuel cell electric vehicles.</w:t>
      </w:r>
    </w:p>
    <w:p>
      <w:pPr>
        <w:spacing w:before="0" w:after="0" w:line="408" w:lineRule="exact"/>
        <w:ind w:left="0" w:right="0" w:firstLine="576"/>
        <w:jc w:val="left"/>
      </w:pPr>
      <w:r>
        <w:rPr/>
        <w:t xml:space="preserve">(7)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The department shall establish a green transportation capital grant program. The purpose of the grant program is to aid any transit authority in funding cost-effective capital projects such as electrification of vehicle fleets, modification or replacement of capital facilities in order to facilitate fleet electrification, necessary upgrades to electrical transmission and distribution systems, and construction of charging and fueling stations, which reduce the carbon intensity of the Washington transportation system. The department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the amount of funding provided through the green transportation capital grant program.</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through 14, and 16 through 21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15 of this act take effect January 1, 2020.</w:t>
      </w:r>
    </w:p>
    <w:p/>
    <w:p>
      <w:pPr>
        <w:jc w:val="center"/>
      </w:pPr>
      <w:r>
        <w:rPr>
          <w:b/>
        </w:rPr>
        <w:t>--- END ---</w:t>
      </w:r>
    </w:p>
    <w:sectPr>
      <w:pgNumType w:start="1"/>
      <w:footerReference xmlns:r="http://schemas.openxmlformats.org/officeDocument/2006/relationships" r:id="Rc9d645a74a4f43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3693fd31c489c" /><Relationship Type="http://schemas.openxmlformats.org/officeDocument/2006/relationships/footer" Target="/word/footer1.xml" Id="Rc9d645a74a4f4307" /></Relationships>
</file>