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b1712cf6714c2a" /></Relationships>
</file>

<file path=word/document.xml><?xml version="1.0" encoding="utf-8"?>
<w:document xmlns:w="http://schemas.openxmlformats.org/wordprocessingml/2006/main">
  <w:body>
    <w:p>
      <w:r>
        <w:t>H-1695.1</w:t>
      </w:r>
    </w:p>
    <w:p>
      <w:pPr>
        <w:jc w:val="center"/>
      </w:pPr>
      <w:r>
        <w:t>_______________________________________________</w:t>
      </w:r>
    </w:p>
    <w:p/>
    <w:p>
      <w:pPr>
        <w:jc w:val="center"/>
      </w:pPr>
      <w:r>
        <w:rPr>
          <w:b/>
        </w:rPr>
        <w:t>HOUSE BILL 2067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Davis, Chambers, Jinkins, Dufault, Riccelli, Doglio, Tarleton, Kilduff, and Pollet</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disclosure of certain individual vehicle and vessel owner information of those participating in the address confidentiality program; amending RCW 46.12.635; and adding a new section to chapter 40.24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2016 c 80 s 2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or vessel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or vessel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or vessel owner, to whom the information applies, that the request has been granted. The notice must only include: (i) That the disclosing entity has disclosed the vehicle or vessel owner's name and address pursuant to a request made under this section; (ii) the date that the disclosure was made; and (iii) that the vehicle or vessel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or vessel owner under (a) of this subsection is whether the requesting party was an attorney or private investigator. The request by the vehicle or vessel owner must be submitted to the disclosing entity within five days of receipt of the original notice.</w:t>
      </w:r>
    </w:p>
    <w:p>
      <w:pPr>
        <w:spacing w:before="0" w:after="0" w:line="408" w:lineRule="exact"/>
        <w:ind w:left="0" w:right="0" w:firstLine="576"/>
        <w:jc w:val="left"/>
      </w:pPr>
      <w:r>
        <w:rPr/>
        <w:t xml:space="preserve">(c) In the case of a vehicle or vessel owner who submits to the disclosing entity a copy of a valid court order restricting another person from contacting the vehicle or vessel owner or his or her family or household member, the disclosing entity shall provide the vehicle or vessel owner with the name and address of the requesting party.</w:t>
      </w:r>
    </w:p>
    <w:p>
      <w:pPr>
        <w:spacing w:before="0" w:after="0" w:line="408" w:lineRule="exact"/>
        <w:ind w:left="0" w:right="0" w:firstLine="576"/>
        <w:jc w:val="left"/>
      </w:pPr>
      <w:r>
        <w:rPr/>
        <w:t xml:space="preserve">(5) Any person who is furnished vehicle or vessel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or vessel owners. 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The department shall disclose vessel records for any vessel owned by a governmental entity upon request.</w:t>
      </w:r>
    </w:p>
    <w:p>
      <w:pPr>
        <w:spacing w:before="0" w:after="0" w:line="408" w:lineRule="exact"/>
        <w:ind w:left="0" w:right="0" w:firstLine="576"/>
        <w:jc w:val="left"/>
      </w:pPr>
      <w:r>
        <w:rPr/>
        <w:t xml:space="preserve">(8) This section shall not apply to title history information under RCW 19.118.170.</w:t>
      </w:r>
    </w:p>
    <w:p>
      <w:pPr>
        <w:spacing w:before="0" w:after="0" w:line="408" w:lineRule="exact"/>
        <w:ind w:left="0" w:right="0" w:firstLine="576"/>
        <w:jc w:val="left"/>
      </w:pPr>
      <w:r>
        <w:rPr/>
        <w:t xml:space="preserve">(9) The department shall charge a fee of two dollars for each record returned pursuant to a request made by a business entity under subsection (1) of this section and deposit the fee into the highway safety account.</w:t>
      </w:r>
    </w:p>
    <w:p>
      <w:pPr>
        <w:spacing w:before="0" w:after="0" w:line="408" w:lineRule="exact"/>
        <w:ind w:left="0" w:right="0" w:firstLine="576"/>
        <w:jc w:val="left"/>
      </w:pPr>
      <w:r>
        <w:rPr>
          <w:u w:val="single"/>
        </w:rPr>
        <w:t xml:space="preserve">(10) The department, county auditor, or agency or firm authorized by the department shall not release the name, any address, vehicle make, vehicle model, vehicle year, vehicle identification number, or license plate number associated with an individual vehicle or vessel owner who is a participant in the address confidentiality program under chapter 40.24 RCW except as allowed in subsection (6) of this section and RCW 40.24.075.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county auditors, or agencies or firms authorized by the department of licensing may not disclose the name, any address, vehicle make, vehicle model, vehicle year, vehicle identification number, or license plate number associated with a program participant under the disclosure authority provided in RCW 46.12.635 except as allowed in RCW 46.12.635(6) or if provided with a court order as allowed in RCW 40.24.075.</w:t>
      </w:r>
    </w:p>
    <w:p/>
    <w:p>
      <w:pPr>
        <w:jc w:val="center"/>
      </w:pPr>
      <w:r>
        <w:rPr>
          <w:b/>
        </w:rPr>
        <w:t>--- END ---</w:t>
      </w:r>
    </w:p>
    <w:sectPr>
      <w:pgNumType w:start="1"/>
      <w:footerReference xmlns:r="http://schemas.openxmlformats.org/officeDocument/2006/relationships" r:id="R5e27cb341c1047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f0417f798a4f59" /><Relationship Type="http://schemas.openxmlformats.org/officeDocument/2006/relationships/footer" Target="/word/footer1.xml" Id="R5e27cb341c10479a" /></Relationships>
</file>