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daccc4a1247dd" /></Relationships>
</file>

<file path=word/document.xml><?xml version="1.0" encoding="utf-8"?>
<w:document xmlns:w="http://schemas.openxmlformats.org/wordprocessingml/2006/main">
  <w:body>
    <w:p>
      <w:r>
        <w:t>H-1759.1</w:t>
      </w:r>
    </w:p>
    <w:p>
      <w:pPr>
        <w:jc w:val="center"/>
      </w:pPr>
      <w:r>
        <w:t>_______________________________________________</w:t>
      </w:r>
    </w:p>
    <w:p/>
    <w:p>
      <w:pPr>
        <w:jc w:val="center"/>
      </w:pPr>
      <w:r>
        <w:rPr>
          <w:b/>
        </w:rPr>
        <w:t>HOUSE BILL 2097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Chapman, Springer, Blake, Pettigrew, Dent, Schmick, Dye, Maycumber, Wilcox, and Corry</w:t>
      </w:r>
    </w:p>
    <w:p/>
    <w:p>
      <w:r>
        <w:rPr>
          <w:t xml:space="preserve">Read first time 02/19/19.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statewide wolf recovery; amending RCW 16.76.020; adding a new section to chapter 77.36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in accordance with WAC 220-610-110 sections 7 and 8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fish and wildlife shall immediately review the listing status of the gray wolf, </w:t>
      </w:r>
      <w:r>
        <w:rPr>
          <w:i/>
        </w:rPr>
        <w:t xml:space="preserve">Canis lupus</w:t>
      </w:r>
      <w:r>
        <w:rPr/>
        <w:t xml:space="preserve">, as an endangered, threatened, or sensitive species under RCW 77.12.020, or the rules adopted under RCW 77.12.020. The review must determine if Washington's wolf population is no longer in danger of failing, declining, or no longer vulnerable to limited numbers, disease, predation, habitat loss or change, or exploitation, and must examine the relationship between wolf population levels in the eastern Washington recovery region and their role in wolf colonization in the remaining recovery regions. The review required in this section must be based solely on the numerical biological status and preponderance of scientific data available.</w:t>
      </w:r>
    </w:p>
    <w:p>
      <w:pPr>
        <w:spacing w:before="0" w:after="0" w:line="408" w:lineRule="exact"/>
        <w:ind w:left="0" w:right="0" w:firstLine="576"/>
        <w:jc w:val="left"/>
      </w:pPr>
      <w:r>
        <w:rPr/>
        <w:t xml:space="preserve">(2) If the review required under subsection (1) of this section finds that the gray wolf is no longer in danger of failing, declining, or no longer vulnerable to limited numbers, disease, predation, habitat loss or change, or exploitation, the state fish and wildlife commission shall consider whether a change in listing status is warranted either:</w:t>
      </w:r>
    </w:p>
    <w:p>
      <w:pPr>
        <w:spacing w:before="0" w:after="0" w:line="408" w:lineRule="exact"/>
        <w:ind w:left="0" w:right="0" w:firstLine="576"/>
        <w:jc w:val="left"/>
      </w:pPr>
      <w:r>
        <w:rPr/>
        <w:t xml:space="preserve">(a) Statewide; or</w:t>
      </w:r>
    </w:p>
    <w:p>
      <w:pPr>
        <w:spacing w:before="0" w:after="0" w:line="408" w:lineRule="exact"/>
        <w:ind w:left="0" w:right="0" w:firstLine="576"/>
        <w:jc w:val="left"/>
      </w:pPr>
      <w:r>
        <w:rPr/>
        <w:t xml:space="preserve">(b) In any area of the state where the gray wolf was removed from the federal list of endangered and threatened wildlife, maintained by the secretary of the United States department of the interior under the federal endangered species act, prior to June 30, 2014.</w:t>
      </w:r>
    </w:p>
    <w:p>
      <w:pPr>
        <w:spacing w:before="0" w:after="0" w:line="408" w:lineRule="exact"/>
        <w:ind w:left="0" w:right="0" w:firstLine="576"/>
        <w:jc w:val="left"/>
      </w:pPr>
      <w:r>
        <w:rPr/>
        <w:t xml:space="preserve">(3) The action in subsection (2) of this section may only occur if it does not impede recolonization and recovery in the rest of the state.</w:t>
      </w:r>
    </w:p>
    <w:p>
      <w:pPr>
        <w:spacing w:before="0" w:after="0" w:line="408" w:lineRule="exact"/>
        <w:ind w:left="0" w:right="0" w:firstLine="576"/>
        <w:jc w:val="left"/>
      </w:pPr>
      <w:r>
        <w:rPr/>
        <w:t xml:space="preserve">(4) The state fish and wildlife commission's consideration of the listing status of gray wolves as required by this section must be completed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increase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
      <w:pPr>
        <w:jc w:val="center"/>
      </w:pPr>
      <w:r>
        <w:rPr>
          <w:b/>
        </w:rPr>
        <w:t>--- END ---</w:t>
      </w:r>
    </w:p>
    <w:sectPr>
      <w:pgNumType w:start="1"/>
      <w:footerReference xmlns:r="http://schemas.openxmlformats.org/officeDocument/2006/relationships" r:id="Rbe3858575809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f575f91ac49f5" /><Relationship Type="http://schemas.openxmlformats.org/officeDocument/2006/relationships/footer" Target="/word/footer1.xml" Id="Rbe38585758094e68" /></Relationships>
</file>