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67da65a6344e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Blake, Kretz, Chapman, and Dent)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of signs on public land; adding a new section to chapter 77.12 RCW; adding a new section to chapter 79.02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All new signs that pertain to land use restrictions or closures must include a reference to the supporting section of the Revised Code of Washington or Washington Administrative Code, or to other legal authority.</w:t>
      </w:r>
    </w:p>
    <w:p>
      <w:pPr>
        <w:spacing w:before="0" w:after="0" w:line="408" w:lineRule="exact"/>
        <w:ind w:left="0" w:right="0" w:firstLine="576"/>
        <w:jc w:val="left"/>
      </w:pPr>
      <w:r>
        <w:rPr/>
        <w:t xml:space="preserve">(2) The department shall update existing sign standards and policies to ensure that all signs pertaining to land use restrictions or closures include a reference to the supporting section of the Revised Code of Washington or Washington Administrative Code, or to other legal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new signs that pertain to land use restrictions or closures must include a reference to the supporting section of the Revised Code of Washington or Washington Administrative Code, or to other legal authority.</w:t>
      </w:r>
    </w:p>
    <w:p>
      <w:pPr>
        <w:spacing w:before="0" w:after="0" w:line="408" w:lineRule="exact"/>
        <w:ind w:left="0" w:right="0" w:firstLine="576"/>
        <w:jc w:val="left"/>
      </w:pPr>
      <w:r>
        <w:rPr/>
        <w:t xml:space="preserve">(2) The department shall update existing sign standards and policies to ensure that all signs pertaining to land use restrictions or closures include a reference to the supporting section of the Revised Code of Washington or Washington Administrative Code, or to other legal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Nothing in this act requires any agency of state government to increase or change its existing sign update, replacement, or removal schedules. Agencies should use any remaining stock of signs.</w:t>
      </w:r>
    </w:p>
    <w:p/>
    <w:p>
      <w:pPr>
        <w:jc w:val="center"/>
      </w:pPr>
      <w:r>
        <w:rPr>
          <w:b/>
        </w:rPr>
        <w:t>--- END ---</w:t>
      </w:r>
    </w:p>
    <w:sectPr>
      <w:pgNumType w:start="1"/>
      <w:footerReference xmlns:r="http://schemas.openxmlformats.org/officeDocument/2006/relationships" r:id="R0b4a06c554c745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a74b6ade54182" /><Relationship Type="http://schemas.openxmlformats.org/officeDocument/2006/relationships/footer" Target="/word/footer1.xml" Id="R0b4a06c554c7450b" /></Relationships>
</file>