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ef69e0df24ad8" /></Relationships>
</file>

<file path=word/document.xml><?xml version="1.0" encoding="utf-8"?>
<w:document xmlns:w="http://schemas.openxmlformats.org/wordprocessingml/2006/main">
  <w:body>
    <w:p>
      <w:r>
        <w:t>H-2538.1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 DeBolt</w:t>
      </w:r>
    </w:p>
    <w:p/>
    <w:p>
      <w:r>
        <w:rPr>
          <w:t xml:space="preserve">Read first time 03/29/19.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requiring newborn screening for spinal muscular atrophy; and amending RCW 70.83.020.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83</w:t>
      </w:r>
      <w:r>
        <w:rPr/>
        <w:t xml:space="preserve">.</w:t>
      </w:r>
      <w:r>
        <w:t xml:space="preserve">020</w:t>
      </w:r>
      <w:r>
        <w:rPr/>
        <w:t xml:space="preserve"> and 2014 c 18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shall be the duty of the department of health to require screening tests of all newborn infants born in any setting. Each hospital or health care provider attending a birth outside of a hospital shall collect and submit a sample blood specimen for all newborns no more than forty-eight hours following birth. The department of health shall conduct screening tests of samples for the detection of phenylketonuria</w:t>
      </w:r>
      <w:r>
        <w:rPr>
          <w:u w:val="single"/>
        </w:rPr>
        <w:t xml:space="preserve">, spinal muscular atrophy,</w:t>
      </w:r>
      <w:r>
        <w:rPr/>
        <w:t xml:space="preserve"> and other heritable or metabolic disorders leading to intellectual disabilities or physical defects as defined by the state board of health: PROVIDED, That no such tests shall be given to any newborn infant whose parents or guardian object thereto on the grounds that such tests conflict with their religious tenets and practices.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sample required in subsection (1) of this section must be received by the department </w:t>
      </w:r>
      <w:r>
        <w:t>((</w:t>
      </w:r>
      <w:r>
        <w:rPr>
          <w:strike/>
        </w:rPr>
        <w:t xml:space="preserve">[of health]</w:t>
      </w:r>
      <w:r>
        <w:t>))</w:t>
      </w:r>
      <w:r>
        <w:rPr/>
        <w:t xml:space="preserve"> </w:t>
      </w:r>
      <w:r>
        <w:rPr>
          <w:u w:val="single"/>
        </w:rPr>
        <w:t xml:space="preserve">of health</w:t>
      </w:r>
      <w:r>
        <w:rPr/>
        <w:t xml:space="preserve"> within seventy-two hours of the collection of the sample, excluding any day that the Washington state public health laboratory is closed.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ab42cd429784b3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de7bef4bb4024" /><Relationship Type="http://schemas.openxmlformats.org/officeDocument/2006/relationships/footer" Target="/word/footer1.xml" Id="R1ab42cd429784b33" /></Relationships>
</file>