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9669acf22b41d5" /></Relationships>
</file>

<file path=word/document.xml><?xml version="1.0" encoding="utf-8"?>
<w:document xmlns:w="http://schemas.openxmlformats.org/wordprocessingml/2006/main">
  <w:body>
    <w:p>
      <w:r>
        <w:t>H-4368.1</w:t>
      </w:r>
    </w:p>
    <w:p>
      <w:pPr>
        <w:jc w:val="center"/>
      </w:pPr>
      <w:r>
        <w:t>_______________________________________________</w:t>
      </w:r>
    </w:p>
    <w:p/>
    <w:p>
      <w:pPr>
        <w:jc w:val="center"/>
      </w:pPr>
      <w:r>
        <w:rPr>
          <w:b/>
        </w:rPr>
        <w:t>SUBSTITUTE HOUSE BILL 2244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Orcutt, Blake, Chapman, Eslick, Barkis, Goehner, and Irwin)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wheeled all-terrain vehicles on state highways;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w:t>
      </w:r>
      <w:r>
        <w:t>((</w:t>
      </w:r>
      <w:r>
        <w:rPr>
          <w:strike/>
        </w:rPr>
        <w:t xml:space="preserve">segment is within the limits of a city or town and the</w:t>
      </w:r>
      <w:r>
        <w:t>))</w:t>
      </w:r>
      <w:r>
        <w:rPr/>
        <w:t xml:space="preserve"> speed limit on the segment is thirty-five miles per hour or less </w:t>
      </w:r>
      <w:r>
        <w:rPr>
          <w:u w:val="single"/>
        </w:rPr>
        <w:t xml:space="preserve">and the county, city, or town in which the segment is located has adopted an ordinance approving the operation of wheeled all-terrain vehicles on that segment</w:t>
      </w:r>
      <w:r>
        <w:rPr/>
        <w:t xml:space="preserve">;</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Except as otherwise provided in (a) of this subsection, the</w:t>
      </w:r>
      <w:r>
        <w:rPr/>
        <w:t xml:space="preserv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73b14831bbf843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2d84db51c64538" /><Relationship Type="http://schemas.openxmlformats.org/officeDocument/2006/relationships/footer" Target="/word/footer1.xml" Id="R73b14831bbf84365" /></Relationships>
</file>