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3edd807a845bb" /></Relationships>
</file>

<file path=word/document.xml><?xml version="1.0" encoding="utf-8"?>
<w:document xmlns:w="http://schemas.openxmlformats.org/wordprocessingml/2006/main">
  <w:body>
    <w:p>
      <w:r>
        <w:t>H-3559.1</w:t>
      </w:r>
    </w:p>
    <w:p>
      <w:pPr>
        <w:jc w:val="center"/>
      </w:pPr>
      <w:r>
        <w:t>_______________________________________________</w:t>
      </w:r>
    </w:p>
    <w:p/>
    <w:p>
      <w:pPr>
        <w:jc w:val="center"/>
      </w:pPr>
      <w:r>
        <w:rPr>
          <w:b/>
        </w:rPr>
        <w:t>HOUSE BILL 2301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Frame, Leavitt, and Irwin</w:t>
      </w:r>
    </w:p>
    <w:p/>
    <w:p>
      <w:r>
        <w:rPr>
          <w:t xml:space="preserve">Prefiled 01/07/20.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adding a new section to chapter 10.77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reimburse a county for the cost of appointing a qualified expert or professional person under RCW 10.77.060(1)(a) subject to subsections (2) through (4) of this section if, at the time of a referral for an evaluation of competency to stand trial in a jail for an in-custody defendant, the department: During the most recent quarter, did not perform at least one-third of the number of jail-based competency evaluations for in-custody defendants as were performed by qualified experts or professional persons appointed by the court in the referring county; or did not meet the performance target for timely completion of competency evaluations under RCW 10.77.068(1)(a)(iii) during the most recent quarter in fifty percent of cases submitted by the referring county, as documented in the most recent quarterly report under RCW 10.77.068(3) or confirmed by records maintained by the department.</w:t>
      </w:r>
    </w:p>
    <w:p>
      <w:pPr>
        <w:spacing w:before="0" w:after="0" w:line="408" w:lineRule="exact"/>
        <w:ind w:left="0" w:right="0" w:firstLine="576"/>
        <w:jc w:val="left"/>
      </w:pPr>
      <w:r>
        <w:rPr/>
        <w:t xml:space="preserve">(a) For the purposes of calculation, county is defined as the political entity of the county, and therefore municipal court cases are excluded from the calculation.</w:t>
      </w:r>
    </w:p>
    <w:p>
      <w:pPr>
        <w:spacing w:before="0" w:after="0" w:line="408" w:lineRule="exact"/>
        <w:ind w:left="0" w:right="0" w:firstLine="576"/>
        <w:jc w:val="left"/>
      </w:pPr>
      <w:r>
        <w:rPr/>
        <w:t xml:space="preserve">(b) The department shall provide notification informing counties of reimbursement eligibility two weeks after the end of the current quarter to assist with county decisions regarding assignments to qualified experts or professional persons. The department must notify the counties of any delays in providing notification within this time frame. A county is eligible for reimbursement for any evaluations assigned prior to the notification. Notification shall be provided by the department to the county using a mutually agreed-upon method of delivery.</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w:t>
      </w:r>
    </w:p>
    <w:p>
      <w:pPr>
        <w:spacing w:before="0" w:after="0" w:line="408" w:lineRule="exact"/>
        <w:ind w:left="0" w:right="0" w:firstLine="576"/>
        <w:jc w:val="left"/>
      </w:pPr>
      <w:r>
        <w:rPr/>
        <w:t xml:space="preserve">(a) In consultation with the department, develop and maintain critical data elements, including data on the timeliness of competency evaluations completed under this section; and</w:t>
      </w:r>
    </w:p>
    <w:p>
      <w:pPr>
        <w:spacing w:before="0" w:after="0" w:line="408" w:lineRule="exact"/>
        <w:ind w:left="0" w:right="0" w:firstLine="576"/>
        <w:jc w:val="left"/>
      </w:pPr>
      <w:r>
        <w:rPr/>
        <w:t xml:space="preserve">(b) Share this data with the department upon the department's request.</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rPr/>
        <w:t xml:space="preserve">(5)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15ba78741f41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44e2a433a4b54" /><Relationship Type="http://schemas.openxmlformats.org/officeDocument/2006/relationships/footer" Target="/word/footer1.xml" Id="Ra215ba78741f414d" /></Relationships>
</file>