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4cea1ca404903" /></Relationships>
</file>

<file path=word/document.xml><?xml version="1.0" encoding="utf-8"?>
<w:document xmlns:w="http://schemas.openxmlformats.org/wordprocessingml/2006/main">
  <w:body>
    <w:p>
      <w:r>
        <w:t>H-3769.2</w:t>
      </w:r>
    </w:p>
    <w:p>
      <w:pPr>
        <w:jc w:val="center"/>
      </w:pPr>
      <w:r>
        <w:t>_______________________________________________</w:t>
      </w:r>
    </w:p>
    <w:p/>
    <w:p>
      <w:pPr>
        <w:jc w:val="center"/>
      </w:pPr>
      <w:r>
        <w:rPr>
          <w:b/>
        </w:rPr>
        <w:t>HOUSE BILL 2343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Frame, Macri, Doglio, Tharinger, and Pollet</w:t>
      </w:r>
    </w:p>
    <w:p/>
    <w:p>
      <w:r>
        <w:rPr>
          <w:t xml:space="preserve">Prefiled 01/09/20.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43.21C.500; reenacting and amending RCW 36.70A.030;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 and</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at least four times per hour for twelve or more hours per day, minimum residential parking requirements may be no greater than one parking space per bedroom or .75 space per unit.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500</w:t>
      </w:r>
      <w:r>
        <w:rPr/>
        <w:t xml:space="preserve"> and 2019 c 348 s 6 are each amended to read as follows:</w:t>
      </w:r>
    </w:p>
    <w:p>
      <w:pPr>
        <w:spacing w:before="0" w:after="0" w:line="408" w:lineRule="exact"/>
        <w:ind w:left="0" w:right="0" w:firstLine="576"/>
        <w:jc w:val="left"/>
      </w:pP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(1) and (2) of this section, are met.</w:t>
      </w:r>
    </w:p>
    <w:p>
      <w:pPr>
        <w:spacing w:before="0" w:after="0" w:line="408" w:lineRule="exact"/>
        <w:ind w:left="0" w:right="0" w:firstLine="576"/>
        <w:jc w:val="left"/>
      </w:pPr>
      <w:r>
        <w:rPr/>
        <w:t xml:space="preserve">(1) </w:t>
      </w:r>
      <w:r>
        <w:rPr>
          <w:u w:val="single"/>
        </w:rPr>
        <w:t xml:space="preserve">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w:t>
      </w:r>
      <w:r>
        <w:rPr>
          <w:u w:val="single"/>
        </w:rPr>
        <w:t xml:space="preserve">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has undergone the design review process at the appropriate local government level. For purposes of this subsection, "design review" means a formally adopted local government practice of examining public and private projects for their aesthetic, architectural, or urban design quality and compatibility with nearby development. For purposes of this subsection, the design review process may, but is not required to, include a design review board, a separate and appealable design review administrative decision, or design review criteria evaluated as part of the building permit approval process.</w:t>
      </w:r>
    </w:p>
    <w:p>
      <w:pPr>
        <w:spacing w:before="0" w:after="0" w:line="408" w:lineRule="exact"/>
        <w:ind w:left="0" w:right="0" w:firstLine="576"/>
        <w:jc w:val="left"/>
      </w:pPr>
      <w:r>
        <w:rPr>
          <w:u w:val="single"/>
        </w:rPr>
        <w:t xml:space="preserve">(3)</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w:t>
      </w:r>
      <w:r>
        <w:t>((</w:t>
      </w:r>
      <w:r>
        <w:rPr>
          <w:strike/>
        </w:rPr>
        <w:t xml:space="preserve">and</w:t>
      </w:r>
      <w:r>
        <w:t>))</w:t>
      </w:r>
      <w:r>
        <w:rPr/>
        <w:t xml:space="preserve"> </w:t>
      </w:r>
      <w:r>
        <w:rPr>
          <w:u w:val="single"/>
        </w:rPr>
        <w:t xml:space="preserve">or</w:t>
      </w:r>
      <w:r>
        <w:rPr/>
        <w:t xml:space="preserve"> employment services.</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October 1, 2020, the department of ecology shall initiate the rule-making process to remove parking as an element of the environment within WAC 197-11-444 and as a component of the environmental checklist within WAC 197-11-960, as those sections existed on the effective date of this section.</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f8e5b6aa113c47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74aa2e172436c" /><Relationship Type="http://schemas.openxmlformats.org/officeDocument/2006/relationships/footer" Target="/word/footer1.xml" Id="Rf8e5b6aa113c47b2" /></Relationships>
</file>