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911369a234858" /></Relationships>
</file>

<file path=word/document.xml><?xml version="1.0" encoding="utf-8"?>
<w:document xmlns:w="http://schemas.openxmlformats.org/wordprocessingml/2006/main">
  <w:body>
    <w:p>
      <w:r>
        <w:t>H-3631.1</w:t>
      </w:r>
    </w:p>
    <w:p>
      <w:pPr>
        <w:jc w:val="center"/>
      </w:pPr>
      <w:r>
        <w:t>_______________________________________________</w:t>
      </w:r>
    </w:p>
    <w:p/>
    <w:p>
      <w:pPr>
        <w:jc w:val="center"/>
      </w:pPr>
      <w:r>
        <w:rPr>
          <w:b/>
        </w:rPr>
        <w:t>HOUSE BILL 2451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Harris, Cody, Schmick, Riccelli, Robinson, Stonier, Kloba, Santos, Pollet, Wylie, and Doglio</w:t>
      </w:r>
    </w:p>
    <w:p/>
    <w:p>
      <w:r>
        <w:rPr>
          <w:t xml:space="preserve">Read first time 01/14/20.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home health reimbursement rate for medical assistance clients; amending RCW 74.39A.030; adding a new section to chapter 74.09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implement the recommendations provided to the legislature in the December 2019 home health medicaid payment methodology work group report. The legislature finds that the two payment methodologies recommended by the work group will increase access to home health services as well as improve value and quality of services. The legislature finds that the two-tiered phase in from a fee-for-service payment system to a bundled services prospective payment system with value-based purchasing will ensure a smooth transition for the health care authority, home health providers, and individuals receiving home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2021, the home health reimbursement rate for medical assistance clients must be at a rate not less than one hundred percent of the medicare home health payment, include recognition for serving clients in rural areas, and provide reimbursement for expanded benefits including:</w:t>
      </w:r>
    </w:p>
    <w:p>
      <w:pPr>
        <w:spacing w:before="0" w:after="0" w:line="408" w:lineRule="exact"/>
        <w:ind w:left="0" w:right="0" w:firstLine="576"/>
        <w:jc w:val="left"/>
      </w:pPr>
      <w:r>
        <w:rPr/>
        <w:t xml:space="preserve">(a) Licensed social work;</w:t>
      </w:r>
    </w:p>
    <w:p>
      <w:pPr>
        <w:spacing w:before="0" w:after="0" w:line="408" w:lineRule="exact"/>
        <w:ind w:left="0" w:right="0" w:firstLine="576"/>
        <w:jc w:val="left"/>
      </w:pPr>
      <w:r>
        <w:rPr/>
        <w:t xml:space="preserve">(b) Physical therapy;</w:t>
      </w:r>
    </w:p>
    <w:p>
      <w:pPr>
        <w:spacing w:before="0" w:after="0" w:line="408" w:lineRule="exact"/>
        <w:ind w:left="0" w:right="0" w:firstLine="576"/>
        <w:jc w:val="left"/>
      </w:pPr>
      <w:r>
        <w:rPr/>
        <w:t xml:space="preserve">(c) Occupational therapy;</w:t>
      </w:r>
    </w:p>
    <w:p>
      <w:pPr>
        <w:spacing w:before="0" w:after="0" w:line="408" w:lineRule="exact"/>
        <w:ind w:left="0" w:right="0" w:firstLine="576"/>
        <w:jc w:val="left"/>
      </w:pPr>
      <w:r>
        <w:rPr/>
        <w:t xml:space="preserve">(d) Speech therapy;</w:t>
      </w:r>
    </w:p>
    <w:p>
      <w:pPr>
        <w:spacing w:before="0" w:after="0" w:line="408" w:lineRule="exact"/>
        <w:ind w:left="0" w:right="0" w:firstLine="576"/>
        <w:jc w:val="left"/>
      </w:pPr>
      <w:r>
        <w:rPr/>
        <w:t xml:space="preserve">(e) Skilled nursing;</w:t>
      </w:r>
    </w:p>
    <w:p>
      <w:pPr>
        <w:spacing w:before="0" w:after="0" w:line="408" w:lineRule="exact"/>
        <w:ind w:left="0" w:right="0" w:firstLine="576"/>
        <w:jc w:val="left"/>
      </w:pPr>
      <w:r>
        <w:rPr/>
        <w:t xml:space="preserve">(f) Home health aide;</w:t>
      </w:r>
    </w:p>
    <w:p>
      <w:pPr>
        <w:spacing w:before="0" w:after="0" w:line="408" w:lineRule="exact"/>
        <w:ind w:left="0" w:right="0" w:firstLine="576"/>
        <w:jc w:val="left"/>
      </w:pPr>
      <w:r>
        <w:rPr/>
        <w:t xml:space="preserve">(g) Brief skilled nursing; and</w:t>
      </w:r>
    </w:p>
    <w:p>
      <w:pPr>
        <w:spacing w:before="0" w:after="0" w:line="408" w:lineRule="exact"/>
        <w:ind w:left="0" w:right="0" w:firstLine="576"/>
        <w:jc w:val="left"/>
      </w:pPr>
      <w:r>
        <w:rPr/>
        <w:t xml:space="preserve">(h) No more than one telephone encounter per day for skilled assessment conducted through telemonitoring.</w:t>
      </w:r>
    </w:p>
    <w:p>
      <w:pPr>
        <w:spacing w:before="0" w:after="0" w:line="408" w:lineRule="exact"/>
        <w:ind w:left="0" w:right="0" w:firstLine="576"/>
        <w:jc w:val="left"/>
      </w:pPr>
      <w:r>
        <w:rPr/>
        <w:t xml:space="preserve">(2)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2022, the home health reimbursement methodology for medical assistance clients must transition from a fee-for-service methodology described in section 1 of this act to a prospective payment system with value-based purchasing methodology. The bundled services prospective payment system with value-based purchasing methodology must:</w:t>
      </w:r>
    </w:p>
    <w:p>
      <w:pPr>
        <w:spacing w:before="0" w:after="0" w:line="408" w:lineRule="exact"/>
        <w:ind w:left="0" w:right="0" w:firstLine="576"/>
        <w:jc w:val="left"/>
      </w:pPr>
      <w:r>
        <w:rPr/>
        <w:t xml:space="preserve">(1) Include reimbursement for all covered services;</w:t>
      </w:r>
    </w:p>
    <w:p>
      <w:pPr>
        <w:spacing w:before="0" w:after="0" w:line="408" w:lineRule="exact"/>
        <w:ind w:left="0" w:right="0" w:firstLine="576"/>
        <w:jc w:val="left"/>
      </w:pPr>
      <w:r>
        <w:rPr/>
        <w:t xml:space="preserve">(2) Include incentive pay for outcome measures; and</w:t>
      </w:r>
    </w:p>
    <w:p>
      <w:pPr>
        <w:spacing w:before="0" w:after="0" w:line="408" w:lineRule="exact"/>
        <w:ind w:left="0" w:right="0" w:firstLine="576"/>
        <w:jc w:val="left"/>
      </w:pPr>
      <w:r>
        <w:rPr/>
        <w:t xml:space="preserve">(3) Not include reimbursement for additional or enhancement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2019 c 324 s 11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under chapter 70.38 RCW for the purposes of providing assisted living, enhanced adult residential care, or adult residential care, when the department determines that payment of an enhanced rate is cost-effective and necessary to foster expansion of these contracted services. As an incentive for nursing homes to permanently convert a portion of their nursing home bed capacity for the purposes of providing assisted living, enhanced adult residential care, or adult residential care, including but not limited to serving individuals with behavioral health treatment needs, the department may authorize a supplemental add-on to the residential care rate.</w:t>
      </w:r>
    </w:p>
    <w:p>
      <w:pPr>
        <w:spacing w:before="0" w:after="0" w:line="408" w:lineRule="exact"/>
        <w:ind w:left="0" w:right="0" w:firstLine="576"/>
        <w:jc w:val="left"/>
      </w:pPr>
      <w:r>
        <w:rPr>
          <w:u w:val="single"/>
        </w:rPr>
        <w:t xml:space="preserve">(c) Beginning January 1, 2021, the department shall reimburse chronic home health services at a rate not less than one hundred percent of the medicare home health payment, include recognition for serving clients in rural areas, and provide reimbursement for expanded benefits including:</w:t>
      </w:r>
    </w:p>
    <w:p>
      <w:pPr>
        <w:spacing w:before="0" w:after="0" w:line="408" w:lineRule="exact"/>
        <w:ind w:left="0" w:right="0" w:firstLine="576"/>
        <w:jc w:val="left"/>
      </w:pPr>
      <w:r>
        <w:rPr>
          <w:u w:val="single"/>
        </w:rPr>
        <w:t xml:space="preserve">(i) Licensed social work;</w:t>
      </w:r>
    </w:p>
    <w:p>
      <w:pPr>
        <w:spacing w:before="0" w:after="0" w:line="408" w:lineRule="exact"/>
        <w:ind w:left="0" w:right="0" w:firstLine="576"/>
        <w:jc w:val="left"/>
      </w:pPr>
      <w:r>
        <w:rPr>
          <w:u w:val="single"/>
        </w:rPr>
        <w:t xml:space="preserve">(ii) Physical therapy;</w:t>
      </w:r>
    </w:p>
    <w:p>
      <w:pPr>
        <w:spacing w:before="0" w:after="0" w:line="408" w:lineRule="exact"/>
        <w:ind w:left="0" w:right="0" w:firstLine="576"/>
        <w:jc w:val="left"/>
      </w:pPr>
      <w:r>
        <w:rPr>
          <w:u w:val="single"/>
        </w:rPr>
        <w:t xml:space="preserve">(iii) Occupational therapy;</w:t>
      </w:r>
    </w:p>
    <w:p>
      <w:pPr>
        <w:spacing w:before="0" w:after="0" w:line="408" w:lineRule="exact"/>
        <w:ind w:left="0" w:right="0" w:firstLine="576"/>
        <w:jc w:val="left"/>
      </w:pPr>
      <w:r>
        <w:rPr>
          <w:u w:val="single"/>
        </w:rPr>
        <w:t xml:space="preserve">(iv) Speech therapy;</w:t>
      </w:r>
    </w:p>
    <w:p>
      <w:pPr>
        <w:spacing w:before="0" w:after="0" w:line="408" w:lineRule="exact"/>
        <w:ind w:left="0" w:right="0" w:firstLine="576"/>
        <w:jc w:val="left"/>
      </w:pPr>
      <w:r>
        <w:rPr>
          <w:u w:val="single"/>
        </w:rPr>
        <w:t xml:space="preserve">(v) Skilled nursing;</w:t>
      </w:r>
    </w:p>
    <w:p>
      <w:pPr>
        <w:spacing w:before="0" w:after="0" w:line="408" w:lineRule="exact"/>
        <w:ind w:left="0" w:right="0" w:firstLine="576"/>
        <w:jc w:val="left"/>
      </w:pPr>
      <w:r>
        <w:rPr>
          <w:u w:val="single"/>
        </w:rPr>
        <w:t xml:space="preserve">(vi) Home health aide;</w:t>
      </w:r>
    </w:p>
    <w:p>
      <w:pPr>
        <w:spacing w:before="0" w:after="0" w:line="408" w:lineRule="exact"/>
        <w:ind w:left="0" w:right="0" w:firstLine="576"/>
        <w:jc w:val="left"/>
      </w:pPr>
      <w:r>
        <w:rPr>
          <w:u w:val="single"/>
        </w:rPr>
        <w:t xml:space="preserve">(vii) Brief skilled nursing; and</w:t>
      </w:r>
    </w:p>
    <w:p>
      <w:pPr>
        <w:spacing w:before="0" w:after="0" w:line="408" w:lineRule="exact"/>
        <w:ind w:left="0" w:right="0" w:firstLine="576"/>
        <w:jc w:val="left"/>
      </w:pPr>
      <w:r>
        <w:rPr>
          <w:u w:val="single"/>
        </w:rPr>
        <w:t xml:space="preserve">(viii) No more than one telephone encounter per day for skilled assessment conducted through telemonitoring.</w:t>
      </w:r>
    </w:p>
    <w:p/>
    <w:p>
      <w:pPr>
        <w:jc w:val="center"/>
      </w:pPr>
      <w:r>
        <w:rPr>
          <w:b/>
        </w:rPr>
        <w:t>--- END ---</w:t>
      </w:r>
    </w:p>
    <w:sectPr>
      <w:pgNumType w:start="1"/>
      <w:footerReference xmlns:r="http://schemas.openxmlformats.org/officeDocument/2006/relationships" r:id="R8350f1c6139941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5a284c80844f5e" /><Relationship Type="http://schemas.openxmlformats.org/officeDocument/2006/relationships/footer" Target="/word/footer1.xml" Id="R8350f1c613994113" /></Relationships>
</file>