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cd0f8fa5b4187" /></Relationships>
</file>

<file path=word/document.xml><?xml version="1.0" encoding="utf-8"?>
<w:document xmlns:w="http://schemas.openxmlformats.org/wordprocessingml/2006/main">
  <w:body>
    <w:p>
      <w:r>
        <w:t>H-3387.2</w:t>
      </w:r>
    </w:p>
    <w:p>
      <w:pPr>
        <w:jc w:val="center"/>
      </w:pPr>
      <w:r>
        <w:t>_______________________________________________</w:t>
      </w:r>
    </w:p>
    <w:p/>
    <w:p>
      <w:pPr>
        <w:jc w:val="center"/>
      </w:pPr>
      <w:r>
        <w:rPr>
          <w:b/>
        </w:rPr>
        <w:t>HOUSE BILL 2556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Dent, Corry, Eslick, Caldier, Klippert, Jenkin, Griffey, McCaslin, Mosbrucker, Gildon, Dufault, and Tharinger</w:t>
      </w:r>
    </w:p>
    <w:p/>
    <w:p>
      <w:r>
        <w:rPr>
          <w:t xml:space="preserve">Read first time 01/15/20.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regulatory relief for early learning providers; amending RCW 43.216.110 and 43.216.255; adding new sections to chapter 43.216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nurturing and loving relationship between an early learning provider and a child the provider cares for is an essential component of early learning and has a strong influence on that child's healthy development. Further, the legislature finds that successfully operating a child care center or licensed family home is becoming more financially challenging as the state's regulatory framework for child care and early learning has grown more comprehensive. Therefore, the legislature intends to provide relief to early learning providers by: (1) Establishing an accessible, affordable instructional program that satisfies licensure requirements; and (2) evaluating the financial impacts of state licensing requirements on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implement a fundamentals of instruction program for early learning providers. The objective of the program is to instruct early learning providers on how children learn and interact with high quality early learning professionals. The fundamentals of instruction program must provide the training necessary for early learning providers to meet professional education requirements associated with child care licensure.</w:t>
      </w:r>
    </w:p>
    <w:p>
      <w:pPr>
        <w:spacing w:before="0" w:after="0" w:line="408" w:lineRule="exact"/>
        <w:ind w:left="0" w:right="0" w:firstLine="576"/>
        <w:jc w:val="left"/>
      </w:pPr>
      <w:r>
        <w:rPr/>
        <w:t xml:space="preserve">(2) The program must be provided in a manner that is accessible and affordable to providers and must be made available both online and as a community-based training opportunity. Upon a participant's successful completion of the curriculum and an online or in-person exam, the program must certify the participant as having met education requirements necessary to meet federal and state professional development mandates for all early learning provider positions.</w:t>
      </w:r>
    </w:p>
    <w:p>
      <w:pPr>
        <w:spacing w:before="0" w:after="0" w:line="408" w:lineRule="exact"/>
        <w:ind w:left="0" w:right="0" w:firstLine="576"/>
        <w:jc w:val="left"/>
      </w:pPr>
      <w:r>
        <w:rPr/>
        <w:t xml:space="preserve">(3) The program curriculum must emphasize the role of a classroom teacher in a child's learning and development and must meet federal child care and development fund training and professional development requirements with a focus on:</w:t>
      </w:r>
    </w:p>
    <w:p>
      <w:pPr>
        <w:spacing w:before="0" w:after="0" w:line="408" w:lineRule="exact"/>
        <w:ind w:left="0" w:right="0" w:firstLine="576"/>
        <w:jc w:val="left"/>
      </w:pPr>
      <w:r>
        <w:rPr/>
        <w:t xml:space="preserve">(a) Health and safety training standards;</w:t>
      </w:r>
    </w:p>
    <w:p>
      <w:pPr>
        <w:spacing w:before="0" w:after="0" w:line="408" w:lineRule="exact"/>
        <w:ind w:left="0" w:right="0" w:firstLine="576"/>
        <w:jc w:val="left"/>
      </w:pPr>
      <w:r>
        <w:rPr/>
        <w:t xml:space="preserve">(b) Child development within the state's early learning and development guidelines;</w:t>
      </w:r>
    </w:p>
    <w:p>
      <w:pPr>
        <w:spacing w:before="0" w:after="0" w:line="408" w:lineRule="exact"/>
        <w:ind w:left="0" w:right="0" w:firstLine="576"/>
        <w:jc w:val="left"/>
      </w:pPr>
      <w:r>
        <w:rPr/>
        <w:t xml:space="preserve">(c) Social-emotional behavior intervention models for children ages birth through school age; and</w:t>
      </w:r>
    </w:p>
    <w:p>
      <w:pPr>
        <w:spacing w:before="0" w:after="0" w:line="408" w:lineRule="exact"/>
        <w:ind w:left="0" w:right="0" w:firstLine="576"/>
        <w:jc w:val="left"/>
      </w:pPr>
      <w:r>
        <w:rPr/>
        <w:t xml:space="preserve">(d) Appropriate content for populations of children that include different age groups, English learners, children with developmental delays or disabilities, and Native Americans whose tribes receive federal child care and development fund moneys.</w:t>
      </w:r>
    </w:p>
    <w:p>
      <w:pPr>
        <w:spacing w:before="0" w:after="0" w:line="408" w:lineRule="exact"/>
        <w:ind w:left="0" w:right="0" w:firstLine="576"/>
        <w:jc w:val="left"/>
      </w:pPr>
      <w:r>
        <w:rPr/>
        <w:t xml:space="preserve">(4) In the design and implementation of the fundamentals of instruction program, the department must:</w:t>
      </w:r>
    </w:p>
    <w:p>
      <w:pPr>
        <w:spacing w:before="0" w:after="0" w:line="408" w:lineRule="exact"/>
        <w:ind w:left="0" w:right="0" w:firstLine="576"/>
        <w:jc w:val="left"/>
      </w:pPr>
      <w:r>
        <w:rPr/>
        <w:t xml:space="preserve">(a) Solicit inclusive input and feedback from existing early learning providers statewide, including monolingual and bilingual providers who have a variety of education levels; and</w:t>
      </w:r>
    </w:p>
    <w:p>
      <w:pPr>
        <w:spacing w:before="0" w:after="0" w:line="408" w:lineRule="exact"/>
        <w:ind w:left="0" w:right="0" w:firstLine="576"/>
        <w:jc w:val="left"/>
      </w:pPr>
      <w:r>
        <w:rPr/>
        <w:t xml:space="preserve">(b) Ensure the curriculum and exam include the elements described in subsection (3) of this section and are provided in a manner that strives to be inclusive of a variety of learning levels, languages, and abilities.</w:t>
      </w:r>
    </w:p>
    <w:p>
      <w:pPr>
        <w:spacing w:before="0" w:after="0" w:line="408" w:lineRule="exact"/>
        <w:ind w:left="0" w:right="0" w:firstLine="576"/>
        <w:jc w:val="left"/>
      </w:pPr>
      <w:r>
        <w:rPr/>
        <w:t xml:space="preserve">(5) The department may enter into a contract with an outside organization for the development and provision of the curriculum and exam.</w:t>
      </w:r>
    </w:p>
    <w:p>
      <w:pPr>
        <w:spacing w:before="0" w:after="0" w:line="408" w:lineRule="exact"/>
        <w:ind w:left="0" w:right="0" w:firstLine="576"/>
        <w:jc w:val="left"/>
      </w:pPr>
      <w:r>
        <w:rPr/>
        <w:t xml:space="preserve">(6) Beginning November 1, 2020, the department must report annually to the governor and the legislature on provider participation rates and results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110</w:t>
      </w:r>
      <w:r>
        <w:rPr/>
        <w:t xml:space="preserve"> and 2012 c 149 s 2 are each amended to read as follows:</w:t>
      </w:r>
    </w:p>
    <w:p>
      <w:pPr>
        <w:spacing w:before="0" w:after="0" w:line="408" w:lineRule="exact"/>
        <w:ind w:left="0" w:right="0" w:firstLine="576"/>
        <w:jc w:val="left"/>
      </w:pPr>
      <w:r>
        <w:t>((</w:t>
      </w:r>
      <w:r>
        <w:rPr>
          <w:strike/>
        </w:rPr>
        <w:t xml:space="preserve">By December 31, 2012, the</w:t>
      </w:r>
      <w:r>
        <w:t>))</w:t>
      </w:r>
      <w:r>
        <w:rPr/>
        <w:t xml:space="preserve"> </w:t>
      </w:r>
      <w:r>
        <w:rPr>
          <w:u w:val="single"/>
        </w:rPr>
        <w:t xml:space="preserve">The</w:t>
      </w:r>
      <w:r>
        <w:rPr/>
        <w:t xml:space="preserve"> department shall adopt core competencies for early care and education professionals and </w:t>
      </w:r>
      <w:r>
        <w:t>((</w:t>
      </w:r>
      <w:r>
        <w:rPr>
          <w:strike/>
        </w:rPr>
        <w:t xml:space="preserve">child and youth development professionals and develop an implementation plan. The department shall</w:t>
      </w:r>
      <w:r>
        <w:t>))</w:t>
      </w:r>
      <w:r>
        <w:rPr/>
        <w:t xml:space="preserve"> incorporate the core competencies into </w:t>
      </w:r>
      <w:r>
        <w:t>((</w:t>
      </w:r>
      <w:r>
        <w:rPr>
          <w:strike/>
        </w:rPr>
        <w:t xml:space="preserve">all appropriate professional development opportunities including, but not limited to,</w:t>
      </w:r>
      <w:r>
        <w:t>))</w:t>
      </w:r>
      <w:r>
        <w:rPr/>
        <w:t xml:space="preserve"> the quality rating and improvement system</w:t>
      </w:r>
      <w:r>
        <w:t>((</w:t>
      </w:r>
      <w:r>
        <w:rPr>
          <w:strike/>
        </w:rPr>
        <w:t xml:space="preserve">, the early childhood education and assistance program, child care licensing, and the early support for infants and toddlers program</w:t>
      </w:r>
      <w:r>
        <w:t>))</w:t>
      </w:r>
      <w:r>
        <w:rPr/>
        <w:t xml:space="preserve">. The purpose of the core competencies is to serve as a foundation for what early care and education professionals </w:t>
      </w:r>
      <w:r>
        <w:t>((</w:t>
      </w:r>
      <w:r>
        <w:rPr>
          <w:strike/>
        </w:rPr>
        <w:t xml:space="preserve">and child and youth development professionals</w:t>
      </w:r>
      <w:r>
        <w:t>))</w:t>
      </w:r>
      <w:r>
        <w:rPr/>
        <w:t xml:space="preserve"> </w:t>
      </w:r>
      <w:r>
        <w:rPr>
          <w:u w:val="single"/>
        </w:rPr>
        <w:t xml:space="preserve">who are participants in the quality rating and improvement system</w:t>
      </w:r>
      <w:r>
        <w:rPr/>
        <w:t xml:space="preserve"> need to know and do to provide quality care for children. The core competencies must be reviewed and updated every five years. </w:t>
      </w:r>
      <w:r>
        <w:rPr>
          <w:u w:val="single"/>
        </w:rPr>
        <w:t xml:space="preserve">The department may not apply the core competencies to minimum licensing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w:t>
      </w:r>
      <w:r>
        <w:t>((</w:t>
      </w:r>
      <w:r>
        <w:rPr>
          <w:strike/>
        </w:rPr>
        <w:t xml:space="preserve">No later than November 1, 2016, the</w:t>
      </w:r>
      <w:r>
        <w:t>))</w:t>
      </w:r>
      <w:r>
        <w:rPr/>
        <w:t xml:space="preserve"> </w:t>
      </w:r>
      <w:r>
        <w:rPr>
          <w:u w:val="single"/>
        </w:rPr>
        <w:t xml:space="preserve">The</w:t>
      </w:r>
      <w:r>
        <w:rPr/>
        <w:t xml:space="preserve"> department shall implement a single set of licensing standards for child care and the early childhood education and assistance program. The department shall produce the single set of licensing standards within the department's available appropriations. The </w:t>
      </w:r>
      <w:r>
        <w:t>((</w:t>
      </w:r>
      <w:r>
        <w:rPr>
          <w:strike/>
        </w:rPr>
        <w:t xml:space="preserve">new</w:t>
      </w:r>
      <w:r>
        <w:t>))</w:t>
      </w:r>
      <w:r>
        <w:rPr/>
        <w:t xml:space="preserve">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w:t>
      </w:r>
      <w:r>
        <w:t>((</w:t>
      </w:r>
      <w:r>
        <w:rPr>
          <w:strike/>
        </w:rPr>
        <w:t xml:space="preserve">Rely on the standards established in the early achievers program to address quality issues in participating early childhood programs;</w:t>
      </w:r>
    </w:p>
    <w:p>
      <w:pPr>
        <w:spacing w:before="0" w:after="0" w:line="408" w:lineRule="exact"/>
        <w:ind w:left="0" w:right="0" w:firstLine="576"/>
        <w:jc w:val="left"/>
      </w:pPr>
      <w:r>
        <w:rPr>
          <w:strike/>
        </w:rPr>
        <w:t xml:space="preserve">(c)</w:t>
      </w:r>
      <w:r>
        <w:t>))</w:t>
      </w:r>
      <w:r>
        <w:rPr/>
        <w:t xml:space="preserve"> Take into account the separate needs of family care providers and child care centers;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Promote the continued safety of child care settings.</w:t>
      </w:r>
    </w:p>
    <w:p>
      <w:pPr>
        <w:spacing w:before="0" w:after="0" w:line="408" w:lineRule="exact"/>
        <w:ind w:left="0" w:right="0" w:firstLine="576"/>
        <w:jc w:val="left"/>
      </w:pPr>
      <w:r>
        <w:rPr/>
        <w:t xml:space="preserve">(2) </w:t>
      </w:r>
      <w:r>
        <w:t>((</w:t>
      </w:r>
      <w:r>
        <w:rPr>
          <w:strike/>
        </w:rPr>
        <w:t xml:space="preserve">Private schools</w:t>
      </w:r>
      <w:r>
        <w:t>))</w:t>
      </w:r>
      <w:r>
        <w:rPr/>
        <w:t xml:space="preserve"> </w:t>
      </w:r>
      <w:r>
        <w:rPr>
          <w:u w:val="single"/>
        </w:rPr>
        <w:t xml:space="preserve">Family day care providers and child day care centers</w:t>
      </w:r>
      <w:r>
        <w:rPr/>
        <w:t xml:space="preserve"> that operate early learning programs and do not receive state subsidy payments shall be subject only to the minimum health and safety standards in subsection (1)(a) of this section </w:t>
      </w:r>
      <w:r>
        <w:t>((</w:t>
      </w:r>
      <w:r>
        <w:rPr>
          <w:strike/>
        </w:rPr>
        <w:t xml:space="preserve">and the requirements necessary to assure a sufficient early childhood education to meet usual requirements needed for transition into elementary school</w:t>
      </w:r>
      <w:r>
        <w:t>))</w:t>
      </w:r>
      <w:r>
        <w:rPr/>
        <w:t xml:space="preserve">. The state, and any agency thereof, shall not restrict or dictate any specific educational or other programs for early learning programs operated by </w:t>
      </w:r>
      <w:r>
        <w:t>((</w:t>
      </w:r>
      <w:r>
        <w:rPr>
          <w:strike/>
        </w:rPr>
        <w:t xml:space="preserve">private schools except for programs that receive state subsidy payments</w:t>
      </w:r>
      <w:r>
        <w:t>))</w:t>
      </w:r>
      <w:r>
        <w:rPr/>
        <w:t xml:space="preserve"> </w:t>
      </w:r>
      <w:r>
        <w:rPr>
          <w:u w:val="single"/>
        </w:rPr>
        <w:t xml:space="preserve">licensed family day care providers or child day care centers who do not receive state subsidy payments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The work group must study: (a) The financial impacts of department licensing regulations on child care businesses; and (b) direct and indirect costs and benefits to child care providers that are associated with participation in the early achievers quality rating system. The study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July 1, 2020. The work group must meet at least five times between July 1, 2020, and November 30, 2020, and must convene at least two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must be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The department shall provide staff support for the work group.</w:t>
      </w:r>
    </w:p>
    <w:p>
      <w:pPr>
        <w:spacing w:before="0" w:after="0" w:line="408" w:lineRule="exact"/>
        <w:ind w:left="0" w:right="0" w:firstLine="576"/>
        <w:jc w:val="left"/>
      </w:pPr>
      <w:r>
        <w:rPr/>
        <w:t xml:space="preserve">(7) The work group must submit its findings and recommendations to the governor and the appropriate committees of the legislature by December 15, 2020.</w:t>
      </w:r>
    </w:p>
    <w:p>
      <w:pPr>
        <w:spacing w:before="0" w:after="0" w:line="408" w:lineRule="exact"/>
        <w:ind w:left="0" w:right="0" w:firstLine="576"/>
        <w:jc w:val="left"/>
      </w:pPr>
      <w:r>
        <w:rPr/>
        <w:t xml:space="preserve">(8) This section expires June 30, 2021.</w:t>
      </w:r>
    </w:p>
    <w:p/>
    <w:p>
      <w:pPr>
        <w:jc w:val="center"/>
      </w:pPr>
      <w:r>
        <w:rPr>
          <w:b/>
        </w:rPr>
        <w:t>--- END ---</w:t>
      </w:r>
    </w:p>
    <w:sectPr>
      <w:pgNumType w:start="1"/>
      <w:footerReference xmlns:r="http://schemas.openxmlformats.org/officeDocument/2006/relationships" r:id="R6916944ac5af4e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c77e72d2645e5" /><Relationship Type="http://schemas.openxmlformats.org/officeDocument/2006/relationships/footer" Target="/word/footer1.xml" Id="R6916944ac5af4e25" /></Relationships>
</file>