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82e0118d9f433e" /></Relationships>
</file>

<file path=word/document.xml><?xml version="1.0" encoding="utf-8"?>
<w:document xmlns:w="http://schemas.openxmlformats.org/wordprocessingml/2006/main">
  <w:body>
    <w:p>
      <w:r>
        <w:t>H-4842.1</w:t>
      </w:r>
    </w:p>
    <w:p>
      <w:pPr>
        <w:jc w:val="center"/>
      </w:pPr>
      <w:r>
        <w:t>_______________________________________________</w:t>
      </w:r>
    </w:p>
    <w:p/>
    <w:p>
      <w:pPr>
        <w:jc w:val="center"/>
      </w:pPr>
      <w:r>
        <w:rPr>
          <w:b/>
        </w:rPr>
        <w:t>SECOND SUBSTITUTE HOUSE BILL 2570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Gregerson, Barkis, Ryu, Goodman, Peterson, Fitzgibbon, Walsh, Thai, Corry, Macri, Robinson, Gildon, Doglio, Jenkin, Hudgins, Hoff, Frame, Lekanoff, Kloba, Leavitt, Irwin, Bergquist, Davis, Walen, Tharinger, Cody, and Ormsby)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growth by planning and zoning for accessory dwelling units; amending RCW 43.21C.495, 35.63.210, 35A.63.230, 36.70A.400, 43.63A.215, and 36.70.677;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growth management act directs certain cities within urban growth areas to allow accessory dwelling units. However, excessive regulatory and design barriers often limit production in many cities where accessory dwelling units are allowed.</w:t>
      </w:r>
    </w:p>
    <w:p>
      <w:pPr>
        <w:spacing w:before="0" w:after="0" w:line="408" w:lineRule="exact"/>
        <w:ind w:left="0" w:right="0" w:firstLine="576"/>
        <w:jc w:val="left"/>
      </w:pPr>
      <w:r>
        <w:rPr/>
        <w:t xml:space="preserve">(b) Accessory dwelling units provide environmental benefits. They promote energy efficiency compared with average size single-detached houses, and incentivize adaptive reuse of existing homes and materials.</w:t>
      </w:r>
    </w:p>
    <w:p>
      <w:pPr>
        <w:spacing w:before="0" w:after="0" w:line="408" w:lineRule="exact"/>
        <w:ind w:left="0" w:right="0" w:firstLine="576"/>
        <w:jc w:val="left"/>
      </w:pPr>
      <w:r>
        <w:rPr/>
        <w:t xml:space="preserve">(c)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(d)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(e)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(f)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(g) Accessory dwelling units are frequently rented below market rate, providing additional affordable housing options for renters.</w:t>
      </w:r>
    </w:p>
    <w:p>
      <w:pPr>
        <w:spacing w:before="0" w:after="0" w:line="408" w:lineRule="exact"/>
        <w:ind w:left="0" w:right="0" w:firstLine="576"/>
        <w:jc w:val="left"/>
      </w:pPr>
      <w:r>
        <w:rPr/>
        <w:t xml:space="preserve">(h)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(i)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(j) Removing certain regulatory barriers to the construction of accessory dwelling units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chapter 338,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5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"Major transit stop" means: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4 and 5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4 of this act, or to implement the options specified in section 5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4 of this act is subject to legal challenge under this chapter.</w:t>
      </w:r>
    </w:p>
    <w:p>
      <w:pPr>
        <w:spacing w:before="0" w:after="0" w:line="408" w:lineRule="exact"/>
        <w:ind w:left="0" w:right="0" w:firstLine="576"/>
        <w:jc w:val="left"/>
      </w:pPr>
      <w:r>
        <w:rPr/>
        <w:t xml:space="preserve">(5)(a)(i) Covered cities that had a population of at least five thousand and counties that had a population of at least fifty thousand as of April 1, 2019, must adopt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4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4 of this act.</w:t>
      </w:r>
    </w:p>
    <w:p>
      <w:pPr>
        <w:spacing w:before="0" w:after="0" w:line="408" w:lineRule="exact"/>
        <w:ind w:left="0" w:right="0" w:firstLine="576"/>
        <w:jc w:val="left"/>
      </w:pPr>
      <w:r>
        <w:rPr/>
        <w:t xml:space="preserve">(6) Nothing in this section or section 4 or 5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3 of this act, covered cities and covered counties:</w:t>
      </w:r>
    </w:p>
    <w:p>
      <w:pPr>
        <w:spacing w:before="0" w:after="0" w:line="408" w:lineRule="exact"/>
        <w:ind w:left="0" w:right="0" w:firstLine="576"/>
        <w:jc w:val="left"/>
      </w:pPr>
      <w:r>
        <w:rPr/>
        <w:t xml:space="preserve">(1) Must allow at least one accessory dwelling unit on all lots that are located in all zoning districts that allow for single-family homes; the accessory dwelling units allowed under this subsection (1)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(2)(a) Except as provided in (b) of this subsection, may not establish a requirement for the provision of off-street parking for accessory dwelling units;</w:t>
      </w:r>
    </w:p>
    <w:p>
      <w:pPr>
        <w:spacing w:before="0" w:after="0" w:line="408" w:lineRule="exact"/>
        <w:ind w:left="0" w:right="0" w:firstLine="576"/>
        <w:jc w:val="left"/>
      </w:pPr>
      <w:r>
        <w:rPr/>
        <w:t xml:space="preserve">(b) May require one additional parking spot on lots with accessory dwelling units located on a property located no closer than one-quarter mile to a major transit stop;</w:t>
      </w:r>
    </w:p>
    <w:p>
      <w:pPr>
        <w:spacing w:before="0" w:after="0" w:line="408" w:lineRule="exact"/>
        <w:ind w:left="0" w:right="0" w:firstLine="576"/>
        <w:jc w:val="left"/>
      </w:pPr>
      <w:r>
        <w:rPr/>
        <w:t xml:space="preserve">(3) May not require a period of continuous ownership before permitting construction of an accessory dwelling unit on a lot; and</w:t>
      </w:r>
    </w:p>
    <w:p>
      <w:pPr>
        <w:spacing w:before="0" w:after="0" w:line="408" w:lineRule="exact"/>
        <w:ind w:left="0" w:right="0" w:firstLine="576"/>
        <w:jc w:val="left"/>
      </w:pPr>
      <w:r>
        <w:rPr/>
        <w:t xml:space="preserve">(4) May only authorize charges that:</w:t>
      </w:r>
    </w:p>
    <w:p>
      <w:pPr>
        <w:spacing w:before="0" w:after="0" w:line="408" w:lineRule="exact"/>
        <w:ind w:left="0" w:right="0" w:firstLine="576"/>
        <w:jc w:val="left"/>
      </w:pPr>
      <w:r>
        <w:rPr/>
        <w:t xml:space="preserve">(a) Are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Do not exceed the reasonable cost of providing the service; and</w:t>
      </w:r>
    </w:p>
    <w:p>
      <w:pPr>
        <w:spacing w:before="0" w:after="0" w:line="408" w:lineRule="exact"/>
        <w:ind w:left="0" w:right="0" w:firstLine="576"/>
        <w:jc w:val="left"/>
      </w:pPr>
      <w:r>
        <w:rPr/>
        <w:t xml:space="preserve">(c) Are not inconsistent with water availability requirements, water system plans, small water system management plans, or established policies adopted by the water or sewer utility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(11) Do not regulate the location of the entry doors of accessory dwelling units;</w:t>
      </w:r>
    </w:p>
    <w:p>
      <w:pPr>
        <w:spacing w:before="0" w:after="0" w:line="408" w:lineRule="exact"/>
        <w:ind w:left="0" w:right="0" w:firstLine="576"/>
        <w:jc w:val="left"/>
      </w:pPr>
      <w:r>
        <w:rPr/>
        <w:t xml:space="preserve">(12)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(a) One attached accessory dwelling unit and one detached accessory dwelling unit;</w:t>
      </w:r>
    </w:p>
    <w:p>
      <w:pPr>
        <w:spacing w:before="0" w:after="0" w:line="408" w:lineRule="exact"/>
        <w:ind w:left="0" w:right="0" w:firstLine="576"/>
        <w:jc w:val="left"/>
      </w:pPr>
      <w:r>
        <w:rPr/>
        <w:t xml:space="preserve">(b) Two attached accessory dwelling units; or</w:t>
      </w:r>
    </w:p>
    <w:p>
      <w:pPr>
        <w:spacing w:before="0" w:after="0" w:line="408" w:lineRule="exact"/>
        <w:ind w:left="0" w:right="0" w:firstLine="576"/>
        <w:jc w:val="left"/>
      </w:pPr>
      <w:r>
        <w:rPr/>
        <w:t xml:space="preserve">(c) Two detached accessory dwelling units, which may be comprised of either one or two detached structures;</w:t>
      </w:r>
    </w:p>
    <w:p>
      <w:pPr>
        <w:spacing w:before="0" w:after="0" w:line="408" w:lineRule="exact"/>
        <w:ind w:left="0" w:right="0" w:firstLine="576"/>
        <w:jc w:val="left"/>
      </w:pPr>
      <w:r>
        <w:rPr/>
        <w:t xml:space="preserve">(13) Do not establish a maximum gross floor area requirement for accessory dwelling units that is less than one thousand square feet;</w:t>
      </w:r>
    </w:p>
    <w:p>
      <w:pPr>
        <w:spacing w:before="0" w:after="0" w:line="408" w:lineRule="exact"/>
        <w:ind w:left="0" w:right="0" w:firstLine="576"/>
        <w:jc w:val="left"/>
      </w:pPr>
      <w:r>
        <w:rPr/>
        <w:t xml:space="preserve">(14) Do not establish a roof height limitation on accessory dwelling units of less than twenty-four feet;</w:t>
      </w:r>
    </w:p>
    <w:p>
      <w:pPr>
        <w:spacing w:before="0" w:after="0" w:line="408" w:lineRule="exact"/>
        <w:ind w:left="0" w:right="0" w:firstLine="576"/>
        <w:jc w:val="left"/>
      </w:pPr>
      <w:r>
        <w:rPr/>
        <w:t xml:space="preserve">(15) Adopt model accessory dwelling unit architectural plans that are preapproved for public use under some or all local building and environmental permitting requirements;</w:t>
      </w:r>
    </w:p>
    <w:p>
      <w:pPr>
        <w:spacing w:before="0" w:after="0" w:line="408" w:lineRule="exact"/>
        <w:ind w:left="0" w:right="0" w:firstLine="576"/>
        <w:jc w:val="left"/>
      </w:pPr>
      <w:r>
        <w:rPr/>
        <w:t xml:space="preserve">(16) Allow detached accessory dwelling units to be sited at the lot line of the rear yard if the rear yard is adjacent to an alley; and</w:t>
      </w:r>
    </w:p>
    <w:p>
      <w:pPr>
        <w:spacing w:before="0" w:after="0" w:line="408" w:lineRule="exact"/>
        <w:ind w:left="0" w:right="0" w:firstLine="576"/>
        <w:jc w:val="left"/>
      </w:pPr>
      <w:r>
        <w:rPr/>
        <w:t xml:space="preserve">(17) Are identical to all or some of the model ordinances developed by the department of commerce under RCW 43.63A.215 after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any county that apply within an urban growth area designated under chapter 36.70A RCW or by any city are not subject to administrative or judicial appeals under this chapter if the amendments:</w:t>
      </w:r>
    </w:p>
    <w:p>
      <w:pPr>
        <w:spacing w:before="0" w:after="0" w:line="408" w:lineRule="exact"/>
        <w:ind w:left="0" w:right="0" w:firstLine="576"/>
        <w:jc w:val="left"/>
      </w:pPr>
      <w:r>
        <w:rPr>
          <w:u w:val="single"/>
        </w:rPr>
        <w:t xml:space="preserve">(a) Are consistent with the requirements of sections 3 and 4 of this act, regardless of whether the city or county is a covered city or county; or</w:t>
      </w:r>
    </w:p>
    <w:p>
      <w:pPr>
        <w:spacing w:before="0" w:after="0" w:line="408" w:lineRule="exact"/>
        <w:ind w:left="0" w:right="0" w:firstLine="576"/>
        <w:jc w:val="left"/>
      </w:pPr>
      <w:r>
        <w:rPr>
          <w:u w:val="single"/>
        </w:rPr>
        <w:t xml:space="preserve">(b) Achieve the options encouraged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w:t>
      </w:r>
      <w:r>
        <w:t>((</w:t>
      </w:r>
      <w:r>
        <w:rPr>
          <w:strike/>
        </w:rPr>
        <w:t xml:space="preserve">Unless provided otherwise by the legislature, by December 31, 1994, local</w:t>
      </w:r>
      <w:r>
        <w:t>))</w:t>
      </w:r>
      <w:r>
        <w:rPr/>
        <w:t xml:space="preserve"> </w:t>
      </w:r>
      <w:r>
        <w:rPr>
          <w:u w:val="single"/>
        </w:rPr>
        <w:t xml:space="preserve">Local</w:t>
      </w:r>
      <w:r>
        <w:rPr/>
        <w:t xml:space="preserve">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w:t>
      </w:r>
    </w:p>
    <w:p>
      <w:pPr>
        <w:spacing w:before="0" w:after="0" w:line="408" w:lineRule="exact"/>
        <w:ind w:left="0" w:right="0" w:firstLine="576"/>
        <w:jc w:val="left"/>
      </w:pPr>
      <w:r>
        <w:rPr/>
        <w:t xml:space="preserve">(4) </w:t>
      </w:r>
      <w:r>
        <w:rPr>
          <w:u w:val="single"/>
        </w:rPr>
        <w:t xml:space="preserve">By December 15, 2021, the department of commerce must update the model accessory dwelling unit ordinance recommendations required under this section and published in January 1994. The updated model ordinance recommendations supersede the recommendations published in January 1994, for purposes of subsection (3) of this section. The recommendations made under this subsection shall not take effect before May 1, 2022.</w:t>
      </w:r>
    </w:p>
    <w:p>
      <w:pPr>
        <w:spacing w:before="0" w:after="0" w:line="408" w:lineRule="exact"/>
        <w:ind w:left="0" w:right="0" w:firstLine="576"/>
        <w:jc w:val="left"/>
      </w:pPr>
      <w:r>
        <w:rPr>
          <w:u w:val="single"/>
        </w:rPr>
        <w:t xml:space="preserve">(5)</w:t>
      </w:r>
      <w:r>
        <w:rPr/>
        <w:t xml:space="preserve"> As used in this section, "local government" means</w:t>
      </w:r>
      <w:r>
        <w:t>((</w:t>
      </w:r>
      <w:r>
        <w:rPr>
          <w:strike/>
        </w:rPr>
        <w:t xml:space="preserve">:</w:t>
      </w:r>
    </w:p>
    <w:p>
      <w:pPr>
        <w:spacing w:before="0" w:after="0" w:line="408" w:lineRule="exact"/>
        <w:ind w:left="0" w:right="0" w:firstLine="576"/>
        <w:jc w:val="left"/>
      </w:pPr>
      <w:r>
        <w:rPr>
          <w:strike/>
        </w:rPr>
        <w:t xml:space="preserve">(a) A city or code city with a population that exceeds twenty thousand;</w:t>
      </w:r>
    </w:p>
    <w:p>
      <w:pPr>
        <w:spacing w:before="0" w:after="0" w:line="408" w:lineRule="exact"/>
        <w:ind w:left="0" w:right="0" w:firstLine="576"/>
        <w:jc w:val="left"/>
      </w:pPr>
      <w:r>
        <w:rPr>
          <w:strike/>
        </w:rPr>
        <w:t xml:space="preserve">(b) A county that is required to or has elected to plan under the state growth management act; and</w:t>
      </w:r>
    </w:p>
    <w:p>
      <w:pPr>
        <w:spacing w:before="0" w:after="0" w:line="408" w:lineRule="exact"/>
        <w:ind w:left="0" w:right="0" w:firstLine="576"/>
        <w:jc w:val="left"/>
      </w:pPr>
      <w:r>
        <w:rPr>
          <w:strike/>
        </w:rPr>
        <w:t xml:space="preserve">(c) A county with a population that exceeds one hundred twenty-five thousand</w:t>
      </w:r>
      <w:r>
        <w:t>))</w:t>
      </w:r>
      <w:r>
        <w:rPr/>
        <w:t xml:space="preserve"> </w:t>
      </w:r>
      <w:r>
        <w:rPr>
          <w:u w:val="single"/>
        </w:rPr>
        <w:t xml:space="preserve">a covered city or covered county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local government, as defined in RCW 43.63A.215, that is planning under this chapter shall comply with RCW 43.63A.215 (3) </w:t>
      </w:r>
      <w:r>
        <w:rPr>
          <w:u w:val="single"/>
        </w:rPr>
        <w:t xml:space="preserve">and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
      <w:pPr>
        <w:jc w:val="center"/>
      </w:pPr>
      <w:r>
        <w:rPr>
          <w:b/>
        </w:rPr>
        <w:t>--- END ---</w:t>
      </w:r>
    </w:p>
    <w:sectPr>
      <w:pgNumType w:start="1"/>
      <w:footerReference xmlns:r="http://schemas.openxmlformats.org/officeDocument/2006/relationships" r:id="R519a1ddcb27741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9bb5806a84787" /><Relationship Type="http://schemas.openxmlformats.org/officeDocument/2006/relationships/footer" Target="/word/footer1.xml" Id="R519a1ddcb27741d8" /></Relationships>
</file>