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67dee4b294cd6" /></Relationships>
</file>

<file path=word/document.xml><?xml version="1.0" encoding="utf-8"?>
<w:document xmlns:w="http://schemas.openxmlformats.org/wordprocessingml/2006/main">
  <w:body>
    <w:p>
      <w:r>
        <w:t>H-4569.1</w:t>
      </w:r>
    </w:p>
    <w:p>
      <w:pPr>
        <w:jc w:val="center"/>
      </w:pPr>
      <w:r>
        <w:t>_______________________________________________</w:t>
      </w:r>
    </w:p>
    <w:p/>
    <w:p>
      <w:pPr>
        <w:jc w:val="center"/>
      </w:pPr>
      <w:r>
        <w:rPr>
          <w:b/>
        </w:rPr>
        <w:t>SUBSTITUTE HOUSE BILL 2620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Walen, Barkis, Fitzgibbon, Chapman, Boehnke, Duerr, MacEwen, Gildon, Ortiz-Self, Lekanoff, Senn, and Leavitt; by request of Office of the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growth areas; amending RCW 84.14.007, 84.14.010, 84.14.020, 84.14.040, 84.14.060,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4, chapter . . ., Laws of 2020 (section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4, chapter . . ., Laws of 2020 (section 4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new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city or county in which the project is located; or</w:t>
      </w:r>
    </w:p>
    <w:p>
      <w:pPr>
        <w:spacing w:before="0" w:after="0" w:line="408" w:lineRule="exact"/>
        <w:ind w:left="0" w:right="0" w:firstLine="576"/>
        <w:jc w:val="left"/>
      </w:pPr>
      <w:r>
        <w:rPr/>
        <w:t xml:space="preserve">(ii) Where the housing is intended exclusively for owner occupancy, up to one hundred fifteen percent of the area median income, at the time of sale, adjusted for family size for the city or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w:t>
      </w:r>
      <w:r>
        <w:t>((</w:t>
      </w:r>
      <w:r>
        <w:rPr>
          <w:strike/>
        </w:rPr>
        <w:t xml:space="preserve">that is rented by a person or household whose</w:t>
      </w:r>
      <w:r>
        <w:t>))</w:t>
      </w:r>
      <w:r>
        <w:rPr/>
        <w:t xml:space="preserve"> </w:t>
      </w:r>
      <w:r>
        <w:rPr>
          <w:u w:val="single"/>
        </w:rPr>
        <w:t xml:space="preserve">for rental occupancy which, as long as the housing is occupied by low-income households, requires payment of</w:t>
      </w:r>
      <w:r>
        <w:rPr/>
        <w:t xml:space="preserve"> monthly housing costs, including utilities other than telephone, </w:t>
      </w:r>
      <w:r>
        <w:t>((</w:t>
      </w:r>
      <w:r>
        <w:rPr>
          <w:strike/>
        </w:rPr>
        <w:t xml:space="preserve">do not exceed</w:t>
      </w:r>
      <w:r>
        <w:t>))</w:t>
      </w:r>
      <w:r>
        <w:rPr/>
        <w:t xml:space="preserve"> </w:t>
      </w:r>
      <w:r>
        <w:rPr>
          <w:u w:val="single"/>
        </w:rPr>
        <w:t xml:space="preserve">of no more than</w:t>
      </w:r>
      <w:r>
        <w:rPr/>
        <w:t xml:space="preserve">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allow an average minimum density equivalent to fifteen dwelling units or more per gross acre; or (ii) for cities with a population over twenty thousand, is zoned to allow an average minimum density equivalent to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w:t>
      </w:r>
      <w:r>
        <w:t>((</w:t>
      </w:r>
      <w:r>
        <w:rPr>
          <w:strike/>
        </w:rPr>
        <w:t xml:space="preserve">units</w:t>
      </w:r>
      <w:r>
        <w:t>))</w:t>
      </w:r>
      <w:r>
        <w:rPr/>
        <w:t xml:space="preserve"> to low and moderate</w:t>
      </w:r>
      <w:r>
        <w:rPr/>
        <w:noBreakHyphen/>
      </w:r>
      <w:r>
        <w:rPr/>
        <w:t xml:space="preserve">income households, </w:t>
      </w:r>
      <w:r>
        <w:rPr>
          <w:u w:val="single"/>
        </w:rPr>
        <w:t xml:space="preserve">the applicant must provide units for a variety of household sizes by providing affordable units of different sizes substantially proportional to the property as a whole,</w:t>
      </w:r>
      <w:r>
        <w:rPr/>
        <w:t xml:space="preserve">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w:t>
      </w:r>
      <w:r>
        <w:t>((</w:t>
      </w:r>
      <w:r>
        <w:rPr>
          <w:strike/>
        </w:rPr>
        <w:t xml:space="preserve">At the conclusion of the exemption period, the new or rehabilitated housing cost shall</w:t>
      </w:r>
      <w:r>
        <w:t>))</w:t>
      </w:r>
      <w:r>
        <w:rPr/>
        <w:t xml:space="preserve"> </w:t>
      </w:r>
      <w:r>
        <w:rPr>
          <w:u w:val="single"/>
        </w:rPr>
        <w:t xml:space="preserve">The value of the new housing construction, conversion, or rehabilitation improvements must</w:t>
      </w:r>
      <w:r>
        <w:rPr/>
        <w:t xml:space="preserve"> be considered as new construction for the purposes of chapter</w:t>
      </w:r>
      <w:r>
        <w:rPr>
          <w:u w:val="single"/>
        </w:rPr>
        <w:t xml:space="preserve">s</w:t>
      </w:r>
      <w:r>
        <w:rPr/>
        <w:t xml:space="preserve"> 84.55 </w:t>
      </w:r>
      <w:r>
        <w:rPr>
          <w:u w:val="single"/>
        </w:rPr>
        <w:t xml:space="preserve">and 36.21</w:t>
      </w:r>
      <w:r>
        <w:rPr/>
        <w:t xml:space="preserve"> RCW </w:t>
      </w:r>
      <w:r>
        <w:rPr>
          <w:u w:val="single"/>
        </w:rPr>
        <w:t xml:space="preserve">as though the property was not exempt under this chapter.</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and the applicant meets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(8)(a) At the end of both the tenth and eleventh years of an exemption provided under (1)(a)(ii)(B) of this section, applicants must provide tenants of rent-restricted units with notification of intent to apply for an additional exemption period, or intent to increase rents at the close of the exemption.</w:t>
      </w:r>
    </w:p>
    <w:p>
      <w:pPr>
        <w:spacing w:before="0" w:after="0" w:line="408" w:lineRule="exact"/>
        <w:ind w:left="0" w:right="0" w:firstLine="576"/>
        <w:jc w:val="left"/>
      </w:pPr>
      <w:r>
        <w:rPr>
          <w:u w:val="single"/>
        </w:rPr>
        <w:t xml:space="preserve">(b) At the end of both the tenth and eleventh years of an extended exemption provided under subsection (6) or (7) of this section, applicants must provide tenants of rent-restricted units with notification of intent to increase rents at the close of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allow an average minimum density equivalent to fifteen dwelling units or more per gross acre, or for cities with a population over twenty thousand, be zoned to allow an average minimum density equivalent to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twenty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w:t>
      </w:r>
      <w:r>
        <w:t>((</w:t>
      </w:r>
      <w:r>
        <w:rPr>
          <w:strike/>
        </w:rPr>
        <w:t xml:space="preserve">, either</w:t>
      </w:r>
      <w:r>
        <w:t>))</w:t>
      </w:r>
      <w:r>
        <w:rPr/>
        <w:t xml:space="preserve"> as conditions to </w:t>
      </w:r>
      <w:r>
        <w:t>((</w:t>
      </w:r>
      <w:r>
        <w:rPr>
          <w:strike/>
        </w:rPr>
        <w:t xml:space="preserve">eight-year exemptions or as conditions to an extended exemption period under RCW 84.14.020(1)(a)(ii)(B), or both,</w:t>
      </w:r>
      <w:r>
        <w:t>))</w:t>
      </w:r>
      <w:r>
        <w:rPr/>
        <w:t xml:space="preserve"> </w:t>
      </w:r>
      <w:r>
        <w:rPr>
          <w:u w:val="single"/>
        </w:rPr>
        <w:t xml:space="preserve">any exemption granted pursuant to RCW 84.14.020</w:t>
      </w:r>
      <w:r>
        <w:rPr/>
        <w:t xml:space="preserve">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projected fiscal impact and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(f)(i) The city or county has conducted an analysis of the project's benefit to the public with and without a property tax exemption. Such an analysis must include, but not be limited to, an assessment of displacement of existing residents, gentrification of existing neighborhoods, and the project's contribution to the housing needs of the community.</w:t>
      </w:r>
    </w:p>
    <w:p>
      <w:pPr>
        <w:spacing w:before="0" w:after="0" w:line="408" w:lineRule="exact"/>
        <w:ind w:left="0" w:right="0" w:firstLine="576"/>
        <w:jc w:val="left"/>
      </w:pPr>
      <w:r>
        <w:rPr>
          <w:u w:val="single"/>
        </w:rPr>
        <w:t xml:space="preserve">(ii) For projects applying for the exemption under RCW 84.14.020(1)(a)(ii)(B), the analysis must additionally assess the proposed rent levels for income-restricted units at the time of issuance of the exemption compared to fair market rents in similar areas. If income-restricted rent levels do not result in rents lower than the fair market rent, the project may not receive an exemption under RCW 84.14.020(1)(a)(ii)(B), but may apply for an exemption under RCW 84.14.020(1)(a)(ii)(A)</w:t>
      </w:r>
      <w:r>
        <w:rPr/>
        <w:t xml:space="preserve">.</w:t>
      </w:r>
    </w:p>
    <w:p>
      <w:pPr>
        <w:spacing w:before="0" w:after="0" w:line="408" w:lineRule="exact"/>
        <w:ind w:left="0" w:right="0" w:firstLine="576"/>
        <w:jc w:val="left"/>
      </w:pPr>
      <w:r>
        <w:rPr/>
        <w:t xml:space="preserve">(2) </w:t>
      </w:r>
      <w:r>
        <w:rPr>
          <w:u w:val="single"/>
        </w:rPr>
        <w:t xml:space="preserve">For all newly exempted projects after July 1, 2020, with a specific rent-restricted affordable housing requirement pursuant to RCW 84.14.020, as a condition of approval of an application under this section, a local jurisdiction must enter into an agreement with the project applicant to provide at least one of the following to tenants occupying rent-restricted units:</w:t>
      </w:r>
    </w:p>
    <w:p>
      <w:pPr>
        <w:spacing w:before="0" w:after="0" w:line="408" w:lineRule="exact"/>
        <w:ind w:left="0" w:right="0" w:firstLine="576"/>
        <w:jc w:val="left"/>
      </w:pPr>
      <w:r>
        <w:rPr>
          <w:u w:val="single"/>
        </w:rPr>
        <w:t xml:space="preserve">(a) At the close of the exemption, a gradual monthly rent increase from the specified affordable rate to market rate over a period of months equivalent to the number of years that a tenant resided within a rent-restricted unit;</w:t>
      </w:r>
    </w:p>
    <w:p>
      <w:pPr>
        <w:spacing w:before="0" w:after="0" w:line="408" w:lineRule="exact"/>
        <w:ind w:left="0" w:right="0" w:firstLine="576"/>
        <w:jc w:val="left"/>
      </w:pPr>
      <w:r>
        <w:rPr>
          <w:u w:val="single"/>
        </w:rPr>
        <w:t xml:space="preserve">(b) Rental assistance for a period not to exceed one year, or until the tenant exits a given rent-restricted unit; or</w:t>
      </w:r>
    </w:p>
    <w:p>
      <w:pPr>
        <w:spacing w:before="0" w:after="0" w:line="408" w:lineRule="exact"/>
        <w:ind w:left="0" w:right="0" w:firstLine="576"/>
        <w:jc w:val="left"/>
      </w:pPr>
      <w:r>
        <w:rPr>
          <w:u w:val="single"/>
        </w:rPr>
        <w:t xml:space="preserve">(c) At the close of the exemption, relocation assistance including, but not limited to, advance payments required for moving into a new residence, and any application fees.</w:t>
      </w:r>
    </w:p>
    <w:p>
      <w:pPr>
        <w:spacing w:before="0" w:after="0" w:line="408" w:lineRule="exact"/>
        <w:ind w:left="0" w:right="0" w:firstLine="576"/>
        <w:jc w:val="left"/>
      </w:pPr>
      <w:r>
        <w:rPr>
          <w:u w:val="single"/>
        </w:rPr>
        <w:t xml:space="preserve">(3) By June 1, 2024, and every four years thereafter, a governing jurisdiction shall conduct a cumulative assessment of public benefit of all exemptions granted under this chapter. A governing jurisdiction shall evaluate whether its exemption program should be revised to address cumulative impacts to disadvantaged communities, and whether the program has resulted in additional housing opportunities or displacement of existing residents.</w:t>
      </w:r>
    </w:p>
    <w:p>
      <w:pPr>
        <w:spacing w:before="0" w:after="0" w:line="408" w:lineRule="exact"/>
        <w:ind w:left="0" w:right="0" w:firstLine="576"/>
        <w:jc w:val="left"/>
      </w:pPr>
      <w:r>
        <w:rPr>
          <w:u w:val="single"/>
        </w:rPr>
        <w:t xml:space="preserve">(4)</w:t>
      </w:r>
      <w:r>
        <w:rPr/>
        <w:t xml:space="preserve">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 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2020, the department of commerce shall consult with affected stakeholders to review and consider revising the reporting required by this section. The department shall consider amending or providing additional guidance and forms to facilitate effective data collection, compilation, and reporting. The department shall consult participants on effective strategies to provide rental and relocation assistance via a statewide approach. The guidance must also address calculation of equivalent densities in residential targeted areas and methods for evaluating the public benefit pursuant to RCW 84.14.060(1)(f).</w:t>
      </w:r>
    </w:p>
    <w:p/>
    <w:p>
      <w:pPr>
        <w:jc w:val="center"/>
      </w:pPr>
      <w:r>
        <w:rPr>
          <w:b/>
        </w:rPr>
        <w:t>--- END ---</w:t>
      </w:r>
    </w:p>
    <w:sectPr>
      <w:pgNumType w:start="1"/>
      <w:footerReference xmlns:r="http://schemas.openxmlformats.org/officeDocument/2006/relationships" r:id="Re60adec94b2e40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5c0a1931f48a8" /><Relationship Type="http://schemas.openxmlformats.org/officeDocument/2006/relationships/footer" Target="/word/footer1.xml" Id="Re60adec94b2e40a3" /></Relationships>
</file>