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83e35cfa647a3" /></Relationships>
</file>

<file path=word/document.xml><?xml version="1.0" encoding="utf-8"?>
<w:document xmlns:w="http://schemas.openxmlformats.org/wordprocessingml/2006/main">
  <w:body>
    <w:p>
      <w:r>
        <w:t>H-4617.1</w:t>
      </w:r>
    </w:p>
    <w:p>
      <w:pPr>
        <w:jc w:val="center"/>
      </w:pPr>
      <w:r>
        <w:t>_______________________________________________</w:t>
      </w:r>
    </w:p>
    <w:p/>
    <w:p>
      <w:pPr>
        <w:jc w:val="center"/>
      </w:pPr>
      <w:r>
        <w:rPr>
          <w:b/>
        </w:rPr>
        <w:t>SUBSTITUTE HOUSE BILL 2645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Smith, Eslick,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photovoltaic module stewardship and takeback program; and amending RCW 70.355.010.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u w:val="single"/>
        </w:rPr>
        <w:t xml:space="preserve">(h)</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(j)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(k)</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January 1, 2020,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w:t>
      </w:r>
      <w:r>
        <w:rPr>
          <w:u w:val="single"/>
        </w:rPr>
        <w:t xml:space="preserve">of their</w:t>
      </w:r>
      <w:r>
        <w:rPr/>
        <w:t xml:space="preserve">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w:t>
      </w:r>
      <w:r>
        <w:t>((</w:t>
      </w:r>
      <w:r>
        <w:rPr>
          <w:strike/>
        </w:rPr>
        <w:t xml:space="preserve">the</w:t>
      </w:r>
      <w:r>
        <w:t>))</w:t>
      </w:r>
      <w:r>
        <w:rPr/>
        <w:t xml:space="preserve"> </w:t>
      </w:r>
      <w:r>
        <w:rPr>
          <w:u w:val="single"/>
        </w:rPr>
        <w:t xml:space="preserve">their</w:t>
      </w:r>
      <w:r>
        <w:rPr/>
        <w:t xml:space="preserv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2023</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January 1, </w:t>
      </w:r>
      <w:r>
        <w:t>((</w:t>
      </w:r>
      <w:r>
        <w:rPr>
          <w:strike/>
        </w:rPr>
        <w:t xml:space="preserve">2021</w:t>
      </w:r>
      <w:r>
        <w:t>))</w:t>
      </w:r>
      <w:r>
        <w:rPr/>
        <w:t xml:space="preserve"> </w:t>
      </w:r>
      <w:r>
        <w:rPr>
          <w:u w:val="single"/>
        </w:rPr>
        <w:t xml:space="preserve">2023</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0" w:after="0" w:line="408" w:lineRule="exact"/>
        <w:ind w:left="0" w:right="0" w:firstLine="576"/>
        <w:jc w:val="left"/>
      </w:pPr>
      <w:r>
        <w:rPr>
          <w:u w:val="single"/>
        </w:rPr>
        <w:t xml:space="preserve">(13)(a) By July 1, 2020, the director of the department of ecology must appoint a photovoltaic module recovery, reuse, and recycling task force to review and provide recommendations in a final report on potential methodologies for the management of end-of-life photovoltaic modules, including modules from utility scale solar projects. The task force's report is due to the legislature by December 1, 2021. The duties of the task force include, but are not limited to:</w:t>
      </w:r>
    </w:p>
    <w:p>
      <w:pPr>
        <w:spacing w:before="0" w:after="0" w:line="408" w:lineRule="exact"/>
        <w:ind w:left="0" w:right="0" w:firstLine="576"/>
        <w:jc w:val="left"/>
      </w:pPr>
      <w:r>
        <w:rPr>
          <w:u w:val="single"/>
        </w:rPr>
        <w:t xml:space="preserve">(i) Obtaining and reviewing existing data from the Washington State University extension energy program pertaining to the manufacturer, location by zip code, in-service date, and estimated volumes of modules deployed under the state's renewable energy cost recovery incentive program established under RCW 82.16.165;</w:t>
      </w:r>
    </w:p>
    <w:p>
      <w:pPr>
        <w:spacing w:before="0" w:after="0" w:line="408" w:lineRule="exact"/>
        <w:ind w:left="0" w:right="0" w:firstLine="576"/>
        <w:jc w:val="left"/>
      </w:pPr>
      <w:r>
        <w:rPr>
          <w:u w:val="single"/>
        </w:rPr>
        <w:t xml:space="preserve">(ii) Obtaining from manufacturers or existing studies the expected economically productive life cycle of various types of photovoltaic modules currently in use in the state;</w:t>
      </w:r>
    </w:p>
    <w:p>
      <w:pPr>
        <w:spacing w:before="0" w:after="0" w:line="408" w:lineRule="exact"/>
        <w:ind w:left="0" w:right="0" w:firstLine="576"/>
        <w:jc w:val="left"/>
      </w:pPr>
      <w:r>
        <w:rPr>
          <w:u w:val="single"/>
        </w:rPr>
        <w:t xml:space="preserve">(iii) Obtaining from manufacturers and other sources the past, present, and potential future material and components of photovoltaic modules sold in or into the state. The material list must identify recyclable materials, rare earth elements, and materials that exhibit any of the characteristics of hazardous waste identified in 40 C.F.R. Part 261 (2019);</w:t>
      </w:r>
    </w:p>
    <w:p>
      <w:pPr>
        <w:spacing w:before="0" w:after="0" w:line="408" w:lineRule="exact"/>
        <w:ind w:left="0" w:right="0" w:firstLine="576"/>
        <w:jc w:val="left"/>
      </w:pPr>
      <w:r>
        <w:rPr>
          <w:u w:val="single"/>
        </w:rPr>
        <w:t xml:space="preserve">(iv) Reviewing product stewardship programs in Canada, the European Union, and other countries; and</w:t>
      </w:r>
    </w:p>
    <w:p>
      <w:pPr>
        <w:spacing w:before="0" w:after="0" w:line="408" w:lineRule="exact"/>
        <w:ind w:left="0" w:right="0" w:firstLine="576"/>
        <w:jc w:val="left"/>
      </w:pPr>
      <w:r>
        <w:rPr>
          <w:u w:val="single"/>
        </w:rPr>
        <w:t xml:space="preserve">(v) Analyzing and recommending financing mechanisms including advance recovery fees, recycling and disposal fees, and the manufacturer-financed product stewardship and takeback program established under this section, as it existed on December 31, 2019.</w:t>
      </w:r>
    </w:p>
    <w:p>
      <w:pPr>
        <w:spacing w:before="0" w:after="0" w:line="408" w:lineRule="exact"/>
        <w:ind w:left="0" w:right="0" w:firstLine="576"/>
        <w:jc w:val="left"/>
      </w:pPr>
      <w:r>
        <w:rPr>
          <w:u w:val="single"/>
        </w:rPr>
        <w:t xml:space="preserve">(b) The report submitted by the task force must include the task force's recommendations for the financing and management of the recovery, reuse, and recycling of photovoltaic modules and their components and disposing of the remaining end-of-life residual materials. The report must identify legislation, if any, necessary to implement the recommendations of the report.</w:t>
      </w:r>
    </w:p>
    <w:p>
      <w:pPr>
        <w:spacing w:before="0" w:after="0" w:line="408" w:lineRule="exact"/>
        <w:ind w:left="0" w:right="0" w:firstLine="576"/>
        <w:jc w:val="left"/>
      </w:pPr>
      <w:r>
        <w:rPr>
          <w:u w:val="single"/>
        </w:rPr>
        <w:t xml:space="preserve">(c) The director of the department of ecology or the director's designee must chair or designate a chair of the task force created in (a) of this subsection and must appoint task force members. Task force membership must include, but is not limited to, members representing:</w:t>
      </w:r>
    </w:p>
    <w:p>
      <w:pPr>
        <w:spacing w:before="0" w:after="0" w:line="408" w:lineRule="exact"/>
        <w:ind w:left="0" w:right="0" w:firstLine="576"/>
        <w:jc w:val="left"/>
      </w:pPr>
      <w:r>
        <w:rPr>
          <w:u w:val="single"/>
        </w:rPr>
        <w:t xml:space="preserve">(i) A manufacturer of photovoltaic modules located in the state;</w:t>
      </w:r>
    </w:p>
    <w:p>
      <w:pPr>
        <w:spacing w:before="0" w:after="0" w:line="408" w:lineRule="exact"/>
        <w:ind w:left="0" w:right="0" w:firstLine="576"/>
        <w:jc w:val="left"/>
      </w:pPr>
      <w:r>
        <w:rPr>
          <w:u w:val="single"/>
        </w:rPr>
        <w:t xml:space="preserve">(ii) A manufacturer of photovoltaic modules located outside the state;</w:t>
      </w:r>
    </w:p>
    <w:p>
      <w:pPr>
        <w:spacing w:before="0" w:after="0" w:line="408" w:lineRule="exact"/>
        <w:ind w:left="0" w:right="0" w:firstLine="576"/>
        <w:jc w:val="left"/>
      </w:pPr>
      <w:r>
        <w:rPr>
          <w:u w:val="single"/>
        </w:rPr>
        <w:t xml:space="preserve">(iii) A national solar industry group;</w:t>
      </w:r>
    </w:p>
    <w:p>
      <w:pPr>
        <w:spacing w:before="0" w:after="0" w:line="408" w:lineRule="exact"/>
        <w:ind w:left="0" w:right="0" w:firstLine="576"/>
        <w:jc w:val="left"/>
      </w:pPr>
      <w:r>
        <w:rPr>
          <w:u w:val="single"/>
        </w:rPr>
        <w:t xml:space="preserve">(iv) Solar installers in the state;</w:t>
      </w:r>
    </w:p>
    <w:p>
      <w:pPr>
        <w:spacing w:before="0" w:after="0" w:line="408" w:lineRule="exact"/>
        <w:ind w:left="0" w:right="0" w:firstLine="576"/>
        <w:jc w:val="left"/>
      </w:pPr>
      <w:r>
        <w:rPr>
          <w:u w:val="single"/>
        </w:rPr>
        <w:t xml:space="preserve">(v) A utility scale solar project;</w:t>
      </w:r>
    </w:p>
    <w:p>
      <w:pPr>
        <w:spacing w:before="0" w:after="0" w:line="408" w:lineRule="exact"/>
        <w:ind w:left="0" w:right="0" w:firstLine="576"/>
        <w:jc w:val="left"/>
      </w:pPr>
      <w:r>
        <w:rPr>
          <w:u w:val="single"/>
        </w:rPr>
        <w:t xml:space="preserve">(vi) A nonprofit environmental organization with expertise in waste minimization;</w:t>
      </w:r>
    </w:p>
    <w:p>
      <w:pPr>
        <w:spacing w:before="0" w:after="0" w:line="408" w:lineRule="exact"/>
        <w:ind w:left="0" w:right="0" w:firstLine="576"/>
        <w:jc w:val="left"/>
      </w:pPr>
      <w:r>
        <w:rPr>
          <w:u w:val="single"/>
        </w:rPr>
        <w:t xml:space="preserve">(vii) A city solid waste program;</w:t>
      </w:r>
    </w:p>
    <w:p>
      <w:pPr>
        <w:spacing w:before="0" w:after="0" w:line="408" w:lineRule="exact"/>
        <w:ind w:left="0" w:right="0" w:firstLine="576"/>
        <w:jc w:val="left"/>
      </w:pPr>
      <w:r>
        <w:rPr>
          <w:u w:val="single"/>
        </w:rPr>
        <w:t xml:space="preserve">(viii) A county solid waste program;</w:t>
      </w:r>
    </w:p>
    <w:p>
      <w:pPr>
        <w:spacing w:before="0" w:after="0" w:line="408" w:lineRule="exact"/>
        <w:ind w:left="0" w:right="0" w:firstLine="576"/>
        <w:jc w:val="left"/>
      </w:pPr>
      <w:r>
        <w:rPr>
          <w:u w:val="single"/>
        </w:rPr>
        <w:t xml:space="preserve">(ix) An organization with expertise in photovoltaic module recycling;</w:t>
      </w:r>
    </w:p>
    <w:p>
      <w:pPr>
        <w:spacing w:before="0" w:after="0" w:line="408" w:lineRule="exact"/>
        <w:ind w:left="0" w:right="0" w:firstLine="576"/>
        <w:jc w:val="left"/>
      </w:pPr>
      <w:r>
        <w:rPr>
          <w:u w:val="single"/>
        </w:rPr>
        <w:t xml:space="preserve">(x) A community-based environmental justice group; and</w:t>
      </w:r>
    </w:p>
    <w:p>
      <w:pPr>
        <w:spacing w:before="0" w:after="0" w:line="408" w:lineRule="exact"/>
        <w:ind w:left="0" w:right="0" w:firstLine="576"/>
        <w:jc w:val="left"/>
      </w:pPr>
      <w:r>
        <w:rPr>
          <w:u w:val="single"/>
        </w:rPr>
        <w:t xml:space="preserve">(xi) Other members with expertise in relevant areas to be reviewed by the task force.</w:t>
      </w:r>
    </w:p>
    <w:p>
      <w:pPr>
        <w:spacing w:before="0" w:after="0" w:line="408" w:lineRule="exact"/>
        <w:ind w:left="0" w:right="0" w:firstLine="576"/>
        <w:jc w:val="left"/>
      </w:pPr>
      <w:r>
        <w:rPr>
          <w:u w:val="single"/>
        </w:rPr>
        <w:t xml:space="preserve">(d) The director of the department of ecology or the director's designee shall convene the initial meeting of the task force.</w:t>
      </w:r>
    </w:p>
    <w:p>
      <w:pPr>
        <w:spacing w:before="0" w:after="0" w:line="408" w:lineRule="exact"/>
        <w:ind w:left="0" w:right="0" w:firstLine="576"/>
        <w:jc w:val="left"/>
      </w:pPr>
      <w:r>
        <w:rPr>
          <w:u w:val="single"/>
        </w:rPr>
        <w:t xml:space="preserve">(e) Participation in the task force creation in (a) of this subsection is strictly voluntary and without compensation.</w:t>
      </w:r>
    </w:p>
    <w:p/>
    <w:p>
      <w:pPr>
        <w:jc w:val="center"/>
      </w:pPr>
      <w:r>
        <w:rPr>
          <w:b/>
        </w:rPr>
        <w:t>--- END ---</w:t>
      </w:r>
    </w:p>
    <w:sectPr>
      <w:pgNumType w:start="1"/>
      <w:footerReference xmlns:r="http://schemas.openxmlformats.org/officeDocument/2006/relationships" r:id="R3aa9cdd47e3640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259862ce9a4cca" /><Relationship Type="http://schemas.openxmlformats.org/officeDocument/2006/relationships/footer" Target="/word/footer1.xml" Id="R3aa9cdd47e364058" /></Relationships>
</file>