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afe6abfd346cb" /></Relationships>
</file>

<file path=word/document.xml><?xml version="1.0" encoding="utf-8"?>
<w:document xmlns:w="http://schemas.openxmlformats.org/wordprocessingml/2006/main">
  <w:body>
    <w:p>
      <w:r>
        <w:t>Z-0869.1</w:t>
      </w:r>
    </w:p>
    <w:p>
      <w:pPr>
        <w:jc w:val="center"/>
      </w:pPr>
      <w:r>
        <w:t>_______________________________________________</w:t>
      </w:r>
    </w:p>
    <w:p/>
    <w:p>
      <w:pPr>
        <w:jc w:val="center"/>
      </w:pPr>
      <w:r>
        <w:rPr>
          <w:b/>
        </w:rPr>
        <w:t>HOUSE BILL 2678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Bergquist, Griffey, Lovick, Sullivan, Ortiz-Self, Davis, Tharinger, Fitzgibbon, and Morgan; by request of LEOFF Plan 2 Retirement Board</w:t>
      </w:r>
    </w:p>
    <w:p/>
    <w:p>
      <w:r>
        <w:rPr>
          <w:t xml:space="preserve">Read first time 01/17/20.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retirees to change their survivor option election after retirement; and amending RCW 41.26.460.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460</w:t>
      </w:r>
      <w:r>
        <w:rPr/>
        <w:t xml:space="preserve"> and 2019 c 102 s 1 are each amended to read as follows:</w:t>
      </w:r>
    </w:p>
    <w:p>
      <w:pPr>
        <w:spacing w:before="0" w:after="0" w:line="408" w:lineRule="exact"/>
        <w:ind w:left="0" w:right="0" w:firstLine="576"/>
        <w:jc w:val="left"/>
      </w:pPr>
      <w:r>
        <w:rPr/>
        <w:t xml:space="preserve">(1) Upon retirement for service as prescribed in RCW 41.26.430 or disability retirement under RCW 41.26.470,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a domestic partner, must provide the written consent of his or her spouse or domestic partner to the option selected under this section, except as provided in (b) and (c) of this subsection. If a member is married or a domestic partner and both the member and member's spouse or domestic partner do not give written consent to an option under this section, the department will pay the member a joint and fifty percent survivor benefit and record the member's spouse or domestic partner as the beneficiary. Such benefit shall be calculated to be actuarially equivalent to the benefit options available under subsection (1) of this section unless spousal or domestic partner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or domestic partner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person not their 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41.26.530(1) and the member's divorcing spouse or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spousal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41.26.430(1)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
      <w:pPr>
        <w:jc w:val="center"/>
      </w:pPr>
      <w:r>
        <w:rPr>
          <w:b/>
        </w:rPr>
        <w:t>--- END ---</w:t>
      </w:r>
    </w:p>
    <w:sectPr>
      <w:pgNumType w:start="1"/>
      <w:footerReference xmlns:r="http://schemas.openxmlformats.org/officeDocument/2006/relationships" r:id="Rf2fade0a196f42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f48c902a34f86" /><Relationship Type="http://schemas.openxmlformats.org/officeDocument/2006/relationships/footer" Target="/word/footer1.xml" Id="Rf2fade0a196f4242" /></Relationships>
</file>