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8d5fe72e249b1" /></Relationships>
</file>

<file path=word/document.xml><?xml version="1.0" encoding="utf-8"?>
<w:document xmlns:w="http://schemas.openxmlformats.org/wordprocessingml/2006/main">
  <w:body>
    <w:p>
      <w:r>
        <w:t>H-4773.1</w:t>
      </w:r>
    </w:p>
    <w:p>
      <w:pPr>
        <w:jc w:val="center"/>
      </w:pPr>
      <w:r>
        <w:t>_______________________________________________</w:t>
      </w:r>
    </w:p>
    <w:p/>
    <w:p>
      <w:pPr>
        <w:jc w:val="center"/>
      </w:pPr>
      <w:r>
        <w:rPr>
          <w:b/>
        </w:rPr>
        <w:t>SUBSTITUTE HOUSE BILL 2679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Robinson, Macri, Cody, Chopp, Tarleton, Frame, Stonier, Ormsby, Riccelli, Tharinger, Ortiz-Self, Davis, Pollet, and Kloba)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individuals who are not eligible for federal insurance subsidies and for foundational public health services; amending RCW 48.14.080; reenacting and amending RCW 43.84.092; adding a new section to chapter 48.43 RCW; adding a new section to chapter 43.70 RCW; adding a new chapter to Title 82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nonprofit health insurance carriers in the state must:</w:t>
      </w:r>
    </w:p>
    <w:p>
      <w:pPr>
        <w:spacing w:before="0" w:after="0" w:line="408" w:lineRule="exact"/>
        <w:ind w:left="0" w:right="0" w:firstLine="576"/>
        <w:jc w:val="left"/>
      </w:pPr>
      <w:r>
        <w:rPr/>
        <w:t xml:space="preserve">(a) Be committed to a nonprofit corporate structure;</w:t>
      </w:r>
    </w:p>
    <w:p>
      <w:pPr>
        <w:spacing w:before="0" w:after="0" w:line="408" w:lineRule="exact"/>
        <w:ind w:left="0" w:right="0" w:firstLine="576"/>
        <w:jc w:val="left"/>
      </w:pPr>
      <w:r>
        <w:rPr/>
        <w:t xml:space="preserve">(b) Provide individuals, businesses, and other groups with affordable and accessible health insurance; and</w:t>
      </w:r>
    </w:p>
    <w:p>
      <w:pPr>
        <w:spacing w:before="0" w:after="0" w:line="408" w:lineRule="exact"/>
        <w:ind w:left="0" w:right="0" w:firstLine="576"/>
        <w:jc w:val="left"/>
      </w:pPr>
      <w:r>
        <w:rPr/>
        <w:t xml:space="preserve">(c) Recognize a responsibility to contribute to the improvement of the overall health status of the residents of the jurisdictions in which they operate.</w:t>
      </w:r>
    </w:p>
    <w:p>
      <w:pPr>
        <w:spacing w:before="0" w:after="0" w:line="408" w:lineRule="exact"/>
        <w:ind w:left="0" w:right="0" w:firstLine="576"/>
        <w:jc w:val="left"/>
      </w:pPr>
      <w:r>
        <w:rPr/>
        <w:t xml:space="preserve">(2) The legislature further finds that access to health insurance and public services play a critical role in improving the health status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July 1, 2021, and annually thereafter, nonprofit health carriers must submit to the commissioner the amount of the carrier's surplus.</w:t>
      </w:r>
    </w:p>
    <w:p>
      <w:pPr>
        <w:spacing w:before="0" w:after="0" w:line="408" w:lineRule="exact"/>
        <w:ind w:left="0" w:right="0" w:firstLine="576"/>
        <w:jc w:val="left"/>
      </w:pPr>
      <w:r>
        <w:rPr/>
        <w:t xml:space="preserve">(2)(a) By October 1, 2021, and annually thereafter, the commissioner must determine whether a nonprofit health carrier's surplus is excessive.</w:t>
      </w:r>
    </w:p>
    <w:p>
      <w:pPr>
        <w:spacing w:before="0" w:after="0" w:line="408" w:lineRule="exact"/>
        <w:ind w:left="0" w:right="0" w:firstLine="576"/>
        <w:jc w:val="left"/>
      </w:pPr>
      <w:r>
        <w:rPr/>
        <w:t xml:space="preserve">(b) The surplus of a nonprofit health carrier must be determined to be excessive if the surplus is greater than six hundred percent of the nonprofit health carrier's RBC requirements, in accordance with the formula set forth in the RBC instructions.</w:t>
      </w:r>
    </w:p>
    <w:p>
      <w:pPr>
        <w:spacing w:before="0" w:after="0" w:line="408" w:lineRule="exact"/>
        <w:ind w:left="0" w:right="0" w:firstLine="576"/>
        <w:jc w:val="left"/>
      </w:pPr>
      <w:r>
        <w:rPr/>
        <w:t xml:space="preserve">(3) 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pPr>
        <w:spacing w:before="0" w:after="0" w:line="408" w:lineRule="exact"/>
        <w:ind w:left="0" w:right="0" w:firstLine="576"/>
        <w:jc w:val="left"/>
      </w:pPr>
      <w:r>
        <w:rPr/>
        <w:t xml:space="preserve">(4)(a)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pPr>
        <w:spacing w:before="0" w:after="0" w:line="408" w:lineRule="exact"/>
        <w:ind w:left="0" w:right="0" w:firstLine="576"/>
        <w:jc w:val="left"/>
      </w:pPr>
      <w:r>
        <w:rPr/>
        <w:t xml:space="preserve">(b)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pPr>
        <w:spacing w:before="0" w:after="0" w:line="408" w:lineRule="exact"/>
        <w:ind w:left="0" w:right="0" w:firstLine="576"/>
        <w:jc w:val="left"/>
      </w:pPr>
      <w:r>
        <w:rPr/>
        <w:t xml:space="preserve">(c) The hearing must be conducted in accordance with chapter 34.05 RCW.</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The definitions in this subsection apply throughout this section and section 9 of this act unless the context clearly requires otherwise.</w:t>
      </w:r>
    </w:p>
    <w:p>
      <w:pPr>
        <w:spacing w:before="0" w:after="0" w:line="408" w:lineRule="exact"/>
        <w:ind w:left="0" w:right="0" w:firstLine="576"/>
        <w:jc w:val="left"/>
      </w:pPr>
      <w:r>
        <w:rPr/>
        <w:t xml:space="preserve">(a) "Excessive surplus" means the amount of a nonprofit health carrier's surplus above six hundred percent of the nonprofit health carrier's RBC requirements, as determined in subsection (2) of this section.</w:t>
      </w:r>
    </w:p>
    <w:p>
      <w:pPr>
        <w:spacing w:before="0" w:after="0" w:line="408" w:lineRule="exact"/>
        <w:ind w:left="0" w:right="0" w:firstLine="576"/>
        <w:jc w:val="left"/>
      </w:pPr>
      <w:r>
        <w:rPr/>
        <w:t xml:space="preserve">(b) "Fund" means the nonprofit health carrier community benefit fund created in section 9 of this act.</w:t>
      </w:r>
    </w:p>
    <w:p>
      <w:pPr>
        <w:spacing w:before="0" w:after="0" w:line="408" w:lineRule="exact"/>
        <w:ind w:left="0" w:right="0" w:firstLine="576"/>
        <w:jc w:val="left"/>
      </w:pPr>
      <w:r>
        <w:rPr/>
        <w:t xml:space="preserve">(c) "RBC" means risk-based capital.</w:t>
      </w:r>
    </w:p>
    <w:p>
      <w:pPr>
        <w:spacing w:before="0" w:after="0" w:line="408" w:lineRule="exact"/>
        <w:ind w:left="0" w:right="0" w:firstLine="576"/>
        <w:jc w:val="left"/>
      </w:pPr>
      <w:r>
        <w:rPr/>
        <w:t xml:space="preserve">(d) "RBC instructions" has the same meaning as in RCW 48.43.300.</w:t>
      </w:r>
    </w:p>
    <w:p>
      <w:pPr>
        <w:spacing w:before="0" w:after="0" w:line="408" w:lineRule="exact"/>
        <w:ind w:left="0" w:right="0" w:firstLine="576"/>
        <w:jc w:val="left"/>
      </w:pPr>
      <w:r>
        <w:rPr/>
        <w:t xml:space="preserve">(e) "Surplus" means the amount by which a nonprofit health carrier's assets exceed its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"Covered health carrier" means a for-profit health carrier, as defined in RCW 48.43.005.</w:t>
      </w:r>
    </w:p>
    <w:p>
      <w:pPr>
        <w:spacing w:before="0" w:after="0" w:line="408" w:lineRule="exact"/>
        <w:ind w:left="0" w:right="0" w:firstLine="576"/>
        <w:jc w:val="left"/>
      </w:pPr>
      <w:r>
        <w:rPr/>
        <w:t xml:space="preserve">(2) "Depreciation deduction" means depreciation deductions, allocated to Washington pursuant to section 5 of this act, and taken pursuant to Title 26 U.S.C. Sec. 167 or 179 of the internal revenue code, as existed on the effective date of this section or such subsequent date as may be provided by the department by rule, consistent with the purposes of this act.</w:t>
      </w:r>
    </w:p>
    <w:p>
      <w:pPr>
        <w:spacing w:before="0" w:after="0" w:line="408" w:lineRule="exact"/>
        <w:ind w:left="0" w:right="0" w:firstLine="576"/>
        <w:jc w:val="left"/>
      </w:pPr>
      <w:r>
        <w:rPr/>
        <w:t xml:space="preserve">(3) "Tax year" means a twelve-month period from January 1st to December 31st.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tax is imposed on depreciation expenses claimed by covered health carriers. The tax is three percent of all depreciation deductions, allocated to Washington pursuant to section 5 of this act, and taken pursuant to Title 26 U.S.C. Sec. 167 or 179 of the internal revenue code on the covered health carrier's annual federal tax return for the previous tax year.</w:t>
      </w:r>
    </w:p>
    <w:p>
      <w:pPr>
        <w:spacing w:before="0" w:after="0" w:line="408" w:lineRule="exact"/>
        <w:ind w:left="0" w:right="0" w:firstLine="576"/>
        <w:jc w:val="left"/>
      </w:pPr>
      <w:r>
        <w:rPr/>
        <w:t xml:space="preserve">(2) The tax imposed under this section is due by September 1st for the previous tax year.</w:t>
      </w:r>
    </w:p>
    <w:p>
      <w:pPr>
        <w:spacing w:before="0" w:after="0" w:line="408" w:lineRule="exact"/>
        <w:ind w:left="0" w:right="0" w:firstLine="576"/>
        <w:jc w:val="left"/>
      </w:pPr>
      <w:r>
        <w:rPr/>
        <w:t xml:space="preserve">(3) The tax imposed under this section is in addition to any other tax imposed in Titles 48, 82, and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the tax imposed under this chapter, depreciation deductions are allocated as follows:</w:t>
      </w:r>
    </w:p>
    <w:p>
      <w:pPr>
        <w:spacing w:before="0" w:after="0" w:line="408" w:lineRule="exact"/>
        <w:ind w:left="0" w:right="0" w:firstLine="576"/>
        <w:jc w:val="left"/>
      </w:pPr>
      <w:r>
        <w:rPr/>
        <w:t xml:space="preserve">(1) Depreciation deductions attributable to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(2) Depreciation deductions from tangible personal property are allocated to this state if the property was located in this state at the time of the deduction. Depreciation deductions from tangible personal property are also allocated to this state even though the property was not located in this state at the time of the deduction if:</w:t>
      </w:r>
    </w:p>
    <w:p>
      <w:pPr>
        <w:spacing w:before="0" w:after="0" w:line="408" w:lineRule="exact"/>
        <w:ind w:left="0" w:right="0" w:firstLine="576"/>
        <w:jc w:val="left"/>
      </w:pPr>
      <w:r>
        <w:rPr/>
        <w:t xml:space="preserve">(a) The property was located in the state at any time during the taxable year or the immediately preceding taxable year;</w:t>
      </w:r>
    </w:p>
    <w:p>
      <w:pPr>
        <w:spacing w:before="0" w:after="0" w:line="408" w:lineRule="exact"/>
        <w:ind w:left="0" w:right="0" w:firstLine="576"/>
        <w:jc w:val="left"/>
      </w:pPr>
      <w:r>
        <w:rPr/>
        <w:t xml:space="preserve">(b) The taxpayer was a resident at the time of the deduction; and</w:t>
      </w:r>
    </w:p>
    <w:p>
      <w:pPr>
        <w:spacing w:before="0" w:after="0" w:line="408" w:lineRule="exact"/>
        <w:ind w:left="0" w:right="0" w:firstLine="576"/>
        <w:jc w:val="left"/>
      </w:pPr>
      <w:r>
        <w:rPr/>
        <w:t xml:space="preserve">(c) The taxpayer is not subject to the payment of an income or excise tax legally imposed on the depreciation deduction by another taxing jurisdiction.</w:t>
      </w:r>
    </w:p>
    <w:p>
      <w:pPr>
        <w:spacing w:before="0" w:after="0" w:line="408" w:lineRule="exact"/>
        <w:ind w:left="0" w:right="0" w:firstLine="576"/>
        <w:jc w:val="left"/>
      </w:pPr>
      <w:r>
        <w:rPr/>
        <w:t xml:space="preserve">(3) Depreciation deduction derived from intangible personal property are allocated to this state if the taxpayer was domiciled in this state at the time the deduction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credit is allowed against the tax imposed in section 4 of this act equal to the amount of any legally imposed income or excise tax paid by the taxpayer to another taxing jurisdiction on the depreciated assets within the other taxing jurisdiction to the extent depreciated assets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(2)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proceeds from this tax must be deposited in the nonprofit health carrier community benefit fund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nonprofit health carrier community benefit fund is created in the state treasury. Moneys in the account may be spent only after appropriation.</w:t>
      </w:r>
    </w:p>
    <w:p>
      <w:pPr>
        <w:spacing w:before="0" w:after="0" w:line="408" w:lineRule="exact"/>
        <w:ind w:left="0" w:right="0" w:firstLine="576"/>
        <w:jc w:val="left"/>
      </w:pPr>
      <w:r>
        <w:rPr/>
        <w:t xml:space="preserve">(2) All receipts from nonprofit health carrier excessive surplus payments collected by the insurance commissioner pursuant to section 2 of this act and proceeds of the tax imposed pursuant to section 4 of this act and collected by the department of revenue must be deposited in the nonprofit health carrier community benefit fund.</w:t>
      </w:r>
    </w:p>
    <w:p>
      <w:pPr>
        <w:spacing w:before="0" w:after="0" w:line="408" w:lineRule="exact"/>
        <w:ind w:left="0" w:right="0" w:firstLine="576"/>
        <w:jc w:val="left"/>
      </w:pPr>
      <w:r>
        <w:rPr/>
        <w:t xml:space="preserve">(3) Expenditures from the nonprofit health carrier community benefit fund must be used exclusively for:</w:t>
      </w:r>
    </w:p>
    <w:p>
      <w:pPr>
        <w:spacing w:before="0" w:after="0" w:line="408" w:lineRule="exact"/>
        <w:ind w:left="0" w:right="0" w:firstLine="576"/>
        <w:jc w:val="left"/>
      </w:pPr>
      <w:r>
        <w:rPr/>
        <w:t xml:space="preserve">(a) Subsidies for individuals purchasing individual market insurance coverage who are not eligible for federal insurance subsidies; and</w:t>
      </w:r>
    </w:p>
    <w:p>
      <w:pPr>
        <w:spacing w:before="0" w:after="0" w:line="408" w:lineRule="exact"/>
        <w:ind w:left="0" w:right="0" w:firstLine="576"/>
        <w:jc w:val="left"/>
      </w:pPr>
      <w:r>
        <w:rPr/>
        <w:t xml:space="preserve">(b) Foundational public health services pursuant to RCW 43.70.515.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 xml:space="preserve">the nonprofit health carrier community benefit fund,</w:t>
      </w:r>
      <w:r>
        <w:rP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w:t>
      </w:r>
      <w:r>
        <w:t>((</w:t>
      </w:r>
      <w:r>
        <w:rPr>
          <w:strike/>
        </w:rPr>
        <w:t xml:space="preserve">and</w:t>
      </w:r>
      <w:r>
        <w:t>))</w:t>
      </w:r>
    </w:p>
    <w:p>
      <w:pPr>
        <w:spacing w:before="0" w:after="0" w:line="408" w:lineRule="exact"/>
        <w:ind w:left="0" w:right="0" w:firstLine="576"/>
        <w:jc w:val="left"/>
      </w:pPr>
      <w:r>
        <w:rPr/>
        <w:t xml:space="preserve">(c) </w:t>
      </w:r>
      <w:r>
        <w:rPr>
          <w:u w:val="single"/>
        </w:rPr>
        <w:t xml:space="preserve">The tax imposed in section 4 of this act, regarding covered health carriers; and</w:t>
      </w:r>
    </w:p>
    <w:p>
      <w:pPr>
        <w:spacing w:before="0" w:after="0" w:line="408" w:lineRule="exact"/>
        <w:ind w:left="0" w:right="0" w:firstLine="576"/>
        <w:jc w:val="left"/>
      </w:pPr>
      <w:r>
        <w:rPr>
          <w:u w:val="single"/>
        </w:rPr>
        <w:t xml:space="preserve">(d)</w:t>
      </w:r>
      <w:r>
        <w:rPr/>
        <w:t xml:space="preserve"> The tax imposed in RCW 82.04.260</w:t>
      </w:r>
      <w:r>
        <w:t>((</w:t>
      </w:r>
      <w:r>
        <w:rPr>
          <w:strike/>
        </w:rPr>
        <w:t xml:space="preserve">(9)</w:t>
      </w:r>
      <w:r>
        <w:t>))</w:t>
      </w:r>
      <w:r>
        <w:rPr/>
        <w:t xml:space="preserve"> </w:t>
      </w:r>
      <w:r>
        <w:rPr>
          <w:u w:val="single"/>
        </w:rPr>
        <w:t xml:space="preserve">(10)</w:t>
      </w:r>
      <w:r>
        <w:rPr/>
        <w:t xml:space="preserve">, regarding public and nonprofit hospitals.</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07e322ee1ef8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88c1c8f5f4149" /><Relationship Type="http://schemas.openxmlformats.org/officeDocument/2006/relationships/footer" Target="/word/footer1.xml" Id="R07e322ee1ef84482" /></Relationships>
</file>